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1791" w14:textId="42AFBE15" w:rsidR="00A4440B" w:rsidRDefault="002A3BDE" w:rsidP="002A3BDE">
      <w:pPr>
        <w:pStyle w:val="BodyText"/>
        <w:ind w:left="284" w:right="1077"/>
        <w:rPr>
          <w:rFonts w:ascii="Times New Roman"/>
          <w:sz w:val="20"/>
        </w:rPr>
      </w:pPr>
      <w:r>
        <w:rPr>
          <w:rFonts w:ascii="Times New Roman"/>
          <w:sz w:val="20"/>
        </w:rPr>
        <w:br w:type="textWrapping" w:clear="all"/>
      </w:r>
    </w:p>
    <w:p w14:paraId="0A03E075" w14:textId="77777777" w:rsidR="00A4440B" w:rsidRDefault="00A4440B">
      <w:pPr>
        <w:pStyle w:val="BodyText"/>
        <w:rPr>
          <w:rFonts w:ascii="Times New Roman"/>
          <w:sz w:val="20"/>
        </w:rPr>
      </w:pPr>
    </w:p>
    <w:p w14:paraId="51C6A69E" w14:textId="77777777" w:rsidR="00A4440B" w:rsidRDefault="00A4440B">
      <w:pPr>
        <w:pStyle w:val="BodyText"/>
        <w:spacing w:before="10"/>
        <w:rPr>
          <w:rFonts w:ascii="Times New Roman"/>
          <w:sz w:val="19"/>
        </w:rPr>
      </w:pPr>
    </w:p>
    <w:p w14:paraId="4CF2EB7E" w14:textId="77777777" w:rsidR="00A4440B" w:rsidRDefault="004C19EC" w:rsidP="00D3175A">
      <w:pPr>
        <w:pStyle w:val="BodyText"/>
        <w:spacing w:before="92"/>
        <w:ind w:left="567" w:right="1134"/>
        <w:jc w:val="center"/>
      </w:pPr>
      <w:r>
        <w:rPr>
          <w:color w:val="8496AF"/>
        </w:rPr>
        <w:t>Classification: Official</w:t>
      </w:r>
    </w:p>
    <w:p w14:paraId="1E41106D" w14:textId="77777777" w:rsidR="00A4440B" w:rsidRDefault="00A4440B">
      <w:pPr>
        <w:pStyle w:val="BodyText"/>
        <w:rPr>
          <w:sz w:val="28"/>
        </w:rPr>
      </w:pPr>
    </w:p>
    <w:p w14:paraId="411FDC4C" w14:textId="56CAA30A" w:rsidR="00A4440B" w:rsidRDefault="00A4440B">
      <w:pPr>
        <w:pStyle w:val="Heading1"/>
      </w:pPr>
    </w:p>
    <w:p w14:paraId="7E531A02" w14:textId="77777777" w:rsidR="00A4440B" w:rsidRDefault="00A4440B">
      <w:pPr>
        <w:pStyle w:val="BodyText"/>
        <w:rPr>
          <w:b/>
          <w:sz w:val="20"/>
        </w:rPr>
      </w:pPr>
    </w:p>
    <w:p w14:paraId="5519CD17" w14:textId="77777777" w:rsidR="00A4440B" w:rsidRDefault="00A4440B">
      <w:pPr>
        <w:pStyle w:val="BodyText"/>
        <w:rPr>
          <w:b/>
          <w:sz w:val="20"/>
        </w:rPr>
      </w:pPr>
    </w:p>
    <w:p w14:paraId="59DDC9B0" w14:textId="77777777" w:rsidR="00A4440B" w:rsidRDefault="00A4440B">
      <w:pPr>
        <w:pStyle w:val="BodyText"/>
        <w:rPr>
          <w:b/>
          <w:sz w:val="20"/>
        </w:rPr>
      </w:pPr>
    </w:p>
    <w:p w14:paraId="12591C93" w14:textId="151D2E73" w:rsidR="00A4440B" w:rsidRDefault="00A4440B">
      <w:pPr>
        <w:pStyle w:val="BodyText"/>
        <w:rPr>
          <w:b/>
          <w:sz w:val="20"/>
        </w:rPr>
      </w:pPr>
    </w:p>
    <w:p w14:paraId="1B8B9E36" w14:textId="77777777" w:rsidR="00D3175A" w:rsidRDefault="00D3175A">
      <w:pPr>
        <w:pStyle w:val="BodyText"/>
        <w:rPr>
          <w:b/>
          <w:sz w:val="20"/>
        </w:rPr>
      </w:pPr>
    </w:p>
    <w:p w14:paraId="7FA9F1BD" w14:textId="77777777" w:rsidR="00A4440B" w:rsidRDefault="00A4440B">
      <w:pPr>
        <w:pStyle w:val="BodyText"/>
        <w:rPr>
          <w:b/>
          <w:sz w:val="20"/>
        </w:rPr>
      </w:pPr>
    </w:p>
    <w:p w14:paraId="53762B2D" w14:textId="77777777" w:rsidR="00FC0923" w:rsidRDefault="00943A73" w:rsidP="00FC0923">
      <w:pPr>
        <w:spacing w:line="360" w:lineRule="auto"/>
        <w:ind w:left="284"/>
        <w:contextualSpacing/>
        <w:jc w:val="center"/>
        <w:rPr>
          <w:b/>
          <w:color w:val="4471C4"/>
          <w:sz w:val="48"/>
        </w:rPr>
      </w:pPr>
      <w:proofErr w:type="gramStart"/>
      <w:r>
        <w:rPr>
          <w:b/>
          <w:color w:val="4471C4"/>
          <w:sz w:val="48"/>
        </w:rPr>
        <w:t>North East</w:t>
      </w:r>
      <w:proofErr w:type="gramEnd"/>
      <w:r>
        <w:rPr>
          <w:b/>
          <w:color w:val="4471C4"/>
          <w:sz w:val="48"/>
        </w:rPr>
        <w:t xml:space="preserve"> and Yorkshire Region</w:t>
      </w:r>
      <w:r w:rsidR="00FC0923">
        <w:rPr>
          <w:b/>
          <w:color w:val="4471C4"/>
          <w:sz w:val="48"/>
        </w:rPr>
        <w:t>.</w:t>
      </w:r>
      <w:r>
        <w:rPr>
          <w:b/>
          <w:color w:val="4471C4"/>
          <w:sz w:val="48"/>
        </w:rPr>
        <w:t xml:space="preserve"> </w:t>
      </w:r>
    </w:p>
    <w:p w14:paraId="35ABE4A9" w14:textId="0C8E8AF9" w:rsidR="00A4440B" w:rsidRDefault="004104EE" w:rsidP="00FC0923">
      <w:pPr>
        <w:spacing w:line="360" w:lineRule="auto"/>
        <w:ind w:left="284"/>
        <w:contextualSpacing/>
        <w:jc w:val="center"/>
        <w:rPr>
          <w:b/>
          <w:color w:val="4471C4"/>
          <w:sz w:val="48"/>
        </w:rPr>
      </w:pPr>
      <w:r>
        <w:rPr>
          <w:b/>
          <w:color w:val="4471C4"/>
          <w:sz w:val="48"/>
        </w:rPr>
        <w:t xml:space="preserve">Adult Critical Care </w:t>
      </w:r>
      <w:r w:rsidR="004C19EC">
        <w:rPr>
          <w:b/>
          <w:color w:val="4471C4"/>
          <w:sz w:val="48"/>
        </w:rPr>
        <w:t>Surge Plan</w:t>
      </w:r>
      <w:r>
        <w:rPr>
          <w:b/>
          <w:color w:val="4471C4"/>
          <w:sz w:val="48"/>
        </w:rPr>
        <w:t xml:space="preserve"> Guidance</w:t>
      </w:r>
    </w:p>
    <w:p w14:paraId="43399511" w14:textId="13187662" w:rsidR="00B910F5" w:rsidRDefault="00B910F5" w:rsidP="00EC20DA">
      <w:pPr>
        <w:spacing w:line="360" w:lineRule="auto"/>
        <w:ind w:left="2642" w:right="2631"/>
        <w:contextualSpacing/>
        <w:jc w:val="center"/>
        <w:rPr>
          <w:b/>
          <w:color w:val="4471C4"/>
          <w:sz w:val="48"/>
        </w:rPr>
      </w:pPr>
    </w:p>
    <w:p w14:paraId="7FF3C292" w14:textId="291A2DB2" w:rsidR="00835F43" w:rsidRDefault="00835F43" w:rsidP="00EC20DA">
      <w:pPr>
        <w:spacing w:line="360" w:lineRule="auto"/>
        <w:ind w:left="2642" w:right="2631"/>
        <w:contextualSpacing/>
        <w:jc w:val="center"/>
        <w:rPr>
          <w:b/>
          <w:sz w:val="48"/>
        </w:rPr>
      </w:pPr>
    </w:p>
    <w:p w14:paraId="1E6FEAC2" w14:textId="77777777" w:rsidR="00A4440B" w:rsidRDefault="00A4440B">
      <w:pPr>
        <w:pStyle w:val="BodyText"/>
        <w:spacing w:before="4"/>
        <w:rPr>
          <w:b/>
          <w:sz w:val="51"/>
        </w:rPr>
      </w:pPr>
    </w:p>
    <w:p w14:paraId="06E6C1A0" w14:textId="77777777" w:rsidR="00A4440B" w:rsidRDefault="00A4440B">
      <w:pPr>
        <w:pStyle w:val="BodyText"/>
        <w:rPr>
          <w:sz w:val="26"/>
        </w:rPr>
      </w:pPr>
    </w:p>
    <w:p w14:paraId="5D9EB8C4" w14:textId="77777777" w:rsidR="00A4440B" w:rsidRDefault="00A4440B" w:rsidP="000A3F15">
      <w:pPr>
        <w:pStyle w:val="BodyText"/>
        <w:ind w:left="284" w:right="1077"/>
        <w:rPr>
          <w:sz w:val="26"/>
        </w:rPr>
      </w:pPr>
    </w:p>
    <w:p w14:paraId="2D232666" w14:textId="77777777" w:rsidR="00A4440B" w:rsidRDefault="00A4440B">
      <w:pPr>
        <w:pStyle w:val="BodyText"/>
        <w:rPr>
          <w:sz w:val="26"/>
        </w:rPr>
      </w:pPr>
    </w:p>
    <w:p w14:paraId="3884DFD0" w14:textId="77777777" w:rsidR="00A4440B" w:rsidRDefault="00A4440B">
      <w:pPr>
        <w:pStyle w:val="BodyText"/>
        <w:rPr>
          <w:sz w:val="26"/>
        </w:rPr>
      </w:pPr>
    </w:p>
    <w:p w14:paraId="0C891677" w14:textId="6F342416" w:rsidR="00EC20DA" w:rsidRPr="007F5B3B" w:rsidRDefault="00675F1B" w:rsidP="008E4CE1">
      <w:pPr>
        <w:pStyle w:val="BodyText"/>
        <w:jc w:val="center"/>
        <w:rPr>
          <w:sz w:val="40"/>
          <w:szCs w:val="40"/>
        </w:rPr>
      </w:pPr>
      <w:r w:rsidRPr="007F5B3B">
        <w:rPr>
          <w:sz w:val="40"/>
          <w:szCs w:val="40"/>
        </w:rPr>
        <w:t xml:space="preserve">Edition: </w:t>
      </w:r>
      <w:r w:rsidR="00067300">
        <w:rPr>
          <w:sz w:val="40"/>
          <w:szCs w:val="40"/>
        </w:rPr>
        <w:t>January</w:t>
      </w:r>
      <w:r w:rsidR="00F105BA">
        <w:rPr>
          <w:sz w:val="40"/>
          <w:szCs w:val="40"/>
        </w:rPr>
        <w:t xml:space="preserve"> </w:t>
      </w:r>
      <w:r w:rsidR="006134DB">
        <w:rPr>
          <w:sz w:val="40"/>
          <w:szCs w:val="40"/>
        </w:rPr>
        <w:t>202</w:t>
      </w:r>
      <w:r w:rsidR="00F105BA">
        <w:rPr>
          <w:sz w:val="40"/>
          <w:szCs w:val="40"/>
        </w:rPr>
        <w:t>4</w:t>
      </w:r>
    </w:p>
    <w:p w14:paraId="77ADF8A0" w14:textId="68280930" w:rsidR="00EC20DA" w:rsidRDefault="00EC20DA">
      <w:pPr>
        <w:pStyle w:val="BodyText"/>
        <w:rPr>
          <w:sz w:val="20"/>
        </w:rPr>
      </w:pPr>
    </w:p>
    <w:p w14:paraId="62F558F7" w14:textId="7962F676" w:rsidR="00EC20DA" w:rsidRDefault="00EC20DA">
      <w:pPr>
        <w:pStyle w:val="BodyText"/>
        <w:rPr>
          <w:sz w:val="20"/>
        </w:rPr>
      </w:pPr>
    </w:p>
    <w:p w14:paraId="6495FAEF" w14:textId="68C89C95" w:rsidR="00EC20DA" w:rsidRDefault="00EC20DA">
      <w:pPr>
        <w:pStyle w:val="BodyText"/>
        <w:rPr>
          <w:sz w:val="20"/>
        </w:rPr>
      </w:pPr>
    </w:p>
    <w:p w14:paraId="732BE056" w14:textId="51EFACC7" w:rsidR="00EC20DA" w:rsidRDefault="00EC20DA">
      <w:pPr>
        <w:pStyle w:val="BodyText"/>
        <w:rPr>
          <w:sz w:val="20"/>
        </w:rPr>
      </w:pPr>
    </w:p>
    <w:p w14:paraId="3897F160" w14:textId="77777777" w:rsidR="00EC20DA" w:rsidRDefault="00EC20DA">
      <w:pPr>
        <w:pStyle w:val="BodyText"/>
        <w:rPr>
          <w:sz w:val="20"/>
        </w:rPr>
      </w:pPr>
    </w:p>
    <w:p w14:paraId="416EA6DA" w14:textId="77777777" w:rsidR="00A4440B" w:rsidRDefault="00A4440B">
      <w:pPr>
        <w:pStyle w:val="BodyText"/>
        <w:spacing w:before="9"/>
        <w:rPr>
          <w:sz w:val="22"/>
        </w:rPr>
      </w:pPr>
    </w:p>
    <w:p w14:paraId="2770C324" w14:textId="77777777" w:rsidR="00A4440B" w:rsidRDefault="00A4440B" w:rsidP="003C1C32">
      <w:pPr>
        <w:pStyle w:val="Heading1"/>
        <w:spacing w:before="92"/>
        <w:rPr>
          <w:noProof/>
          <w:lang w:bidi="ar-SA"/>
        </w:rPr>
      </w:pPr>
    </w:p>
    <w:p w14:paraId="729D7D2F" w14:textId="77777777" w:rsidR="005A049A" w:rsidRPr="005A049A" w:rsidRDefault="005A049A" w:rsidP="005A049A"/>
    <w:p w14:paraId="6F1A2EBF" w14:textId="77777777" w:rsidR="005A049A" w:rsidRPr="005A049A" w:rsidRDefault="005A049A" w:rsidP="005A049A"/>
    <w:p w14:paraId="072701C7" w14:textId="77777777" w:rsidR="005A049A" w:rsidRPr="005A049A" w:rsidRDefault="005A049A" w:rsidP="005A049A"/>
    <w:p w14:paraId="72108D3A" w14:textId="77777777" w:rsidR="005A049A" w:rsidRPr="005A049A" w:rsidRDefault="005A049A" w:rsidP="005A049A"/>
    <w:p w14:paraId="226227AE" w14:textId="77777777" w:rsidR="005A049A" w:rsidRPr="005A049A" w:rsidRDefault="005A049A" w:rsidP="005A049A"/>
    <w:p w14:paraId="4D707337" w14:textId="77777777" w:rsidR="005A049A" w:rsidRPr="005A049A" w:rsidRDefault="005A049A" w:rsidP="005A049A"/>
    <w:p w14:paraId="3090E58F" w14:textId="77777777" w:rsidR="005A049A" w:rsidRPr="005A049A" w:rsidRDefault="005A049A" w:rsidP="005A049A"/>
    <w:p w14:paraId="029633B7" w14:textId="77777777" w:rsidR="005A049A" w:rsidRPr="005A049A" w:rsidRDefault="005A049A" w:rsidP="005A049A"/>
    <w:p w14:paraId="651F203F" w14:textId="77777777" w:rsidR="005A049A" w:rsidRPr="005A049A" w:rsidRDefault="005A049A" w:rsidP="005A049A"/>
    <w:p w14:paraId="04642FAE" w14:textId="77777777" w:rsidR="005A049A" w:rsidRPr="005A049A" w:rsidRDefault="005A049A" w:rsidP="005A049A"/>
    <w:p w14:paraId="369228DE" w14:textId="77777777" w:rsidR="005A049A" w:rsidRPr="005A049A" w:rsidRDefault="005A049A" w:rsidP="005A049A"/>
    <w:p w14:paraId="677C0AAC" w14:textId="77777777" w:rsidR="005A049A" w:rsidRPr="005A049A" w:rsidRDefault="005A049A" w:rsidP="005A049A"/>
    <w:p w14:paraId="00A3D96D" w14:textId="77777777" w:rsidR="005A049A" w:rsidRPr="005A049A" w:rsidRDefault="005A049A" w:rsidP="005A049A"/>
    <w:p w14:paraId="2822822A" w14:textId="2E3E607D" w:rsidR="005A049A" w:rsidRPr="00FC0923" w:rsidRDefault="005A049A" w:rsidP="00FC0923">
      <w:pPr>
        <w:rPr>
          <w:b/>
          <w:bCs/>
          <w:noProof/>
          <w:sz w:val="24"/>
          <w:szCs w:val="24"/>
          <w:lang w:bidi="ar-SA"/>
        </w:rPr>
        <w:sectPr w:rsidR="005A049A" w:rsidRPr="00FC0923" w:rsidSect="00D3175A">
          <w:headerReference w:type="default" r:id="rId11"/>
          <w:footerReference w:type="default" r:id="rId12"/>
          <w:headerReference w:type="first" r:id="rId13"/>
          <w:footerReference w:type="first" r:id="rId14"/>
          <w:type w:val="continuous"/>
          <w:pgSz w:w="11910" w:h="16840"/>
          <w:pgMar w:top="680" w:right="995" w:bottom="280" w:left="709" w:header="720" w:footer="720" w:gutter="0"/>
          <w:cols w:space="720"/>
          <w:titlePg/>
          <w:docGrid w:linePitch="299"/>
        </w:sectPr>
      </w:pPr>
    </w:p>
    <w:p w14:paraId="14010107" w14:textId="62D3AE08" w:rsidR="007F5B3B" w:rsidRPr="003C1C32" w:rsidRDefault="007F5B3B" w:rsidP="00043940">
      <w:pPr>
        <w:pStyle w:val="BodyText"/>
        <w:ind w:left="426" w:hanging="426"/>
      </w:pPr>
    </w:p>
    <w:p w14:paraId="4B0CEC1F" w14:textId="796EA6BB" w:rsidR="00FD2B74" w:rsidRDefault="004104EE" w:rsidP="00EE3FE3">
      <w:pPr>
        <w:pStyle w:val="BodyText"/>
        <w:numPr>
          <w:ilvl w:val="0"/>
          <w:numId w:val="20"/>
        </w:numPr>
        <w:ind w:left="426" w:hanging="426"/>
        <w:rPr>
          <w:b/>
          <w:color w:val="006FC0"/>
          <w:sz w:val="29"/>
        </w:rPr>
      </w:pPr>
      <w:r>
        <w:rPr>
          <w:b/>
          <w:color w:val="006FC0"/>
          <w:sz w:val="29"/>
        </w:rPr>
        <w:t>Context</w:t>
      </w:r>
      <w:r w:rsidR="00344819">
        <w:rPr>
          <w:b/>
          <w:color w:val="006FC0"/>
          <w:sz w:val="29"/>
        </w:rPr>
        <w:t xml:space="preserve"> and Purpose</w:t>
      </w:r>
    </w:p>
    <w:p w14:paraId="24FF4C92" w14:textId="77777777" w:rsidR="00333B5C" w:rsidRPr="00FD2B74" w:rsidRDefault="00333B5C" w:rsidP="00043940">
      <w:pPr>
        <w:pStyle w:val="BodyText"/>
        <w:ind w:left="426" w:hanging="426"/>
        <w:rPr>
          <w:b/>
          <w:color w:val="006FC0"/>
          <w:sz w:val="29"/>
        </w:rPr>
      </w:pPr>
    </w:p>
    <w:p w14:paraId="41723DB7" w14:textId="61F026BD" w:rsidR="000F1E82" w:rsidRPr="00273E83" w:rsidRDefault="00E41CC8" w:rsidP="00EE3FE3">
      <w:pPr>
        <w:pStyle w:val="BodyText"/>
        <w:numPr>
          <w:ilvl w:val="1"/>
          <w:numId w:val="20"/>
        </w:numPr>
        <w:spacing w:line="312" w:lineRule="auto"/>
        <w:ind w:left="567" w:hanging="567"/>
        <w:rPr>
          <w:spacing w:val="-10"/>
        </w:rPr>
      </w:pPr>
      <w:r w:rsidRPr="00D17D13">
        <w:rPr>
          <w:spacing w:val="-10"/>
        </w:rPr>
        <w:t>The purpose of this guidance is to specifically set out:</w:t>
      </w:r>
    </w:p>
    <w:p w14:paraId="1E384CEA" w14:textId="77777777" w:rsidR="00E9379A" w:rsidRPr="001B2B54" w:rsidRDefault="00E9379A" w:rsidP="00EE3FE3">
      <w:pPr>
        <w:pStyle w:val="BodyText"/>
        <w:numPr>
          <w:ilvl w:val="0"/>
          <w:numId w:val="21"/>
        </w:numPr>
        <w:spacing w:line="312" w:lineRule="auto"/>
      </w:pPr>
      <w:r w:rsidRPr="001B2B54">
        <w:rPr>
          <w:spacing w:val="-3"/>
        </w:rPr>
        <w:t xml:space="preserve">the </w:t>
      </w:r>
      <w:r w:rsidRPr="001B2B54">
        <w:t xml:space="preserve">process </w:t>
      </w:r>
      <w:r w:rsidRPr="001B2B54">
        <w:rPr>
          <w:spacing w:val="-3"/>
        </w:rPr>
        <w:t xml:space="preserve">for the </w:t>
      </w:r>
      <w:r w:rsidRPr="001B2B54">
        <w:rPr>
          <w:spacing w:val="-5"/>
        </w:rPr>
        <w:t xml:space="preserve">identification </w:t>
      </w:r>
      <w:r w:rsidRPr="001B2B54">
        <w:rPr>
          <w:spacing w:val="-3"/>
        </w:rPr>
        <w:t xml:space="preserve">of </w:t>
      </w:r>
      <w:r w:rsidRPr="001B2B54">
        <w:t xml:space="preserve">current </w:t>
      </w:r>
      <w:r w:rsidRPr="001B2B54">
        <w:rPr>
          <w:spacing w:val="-4"/>
        </w:rPr>
        <w:t xml:space="preserve">and </w:t>
      </w:r>
      <w:r w:rsidRPr="001B2B54">
        <w:rPr>
          <w:spacing w:val="-5"/>
        </w:rPr>
        <w:t xml:space="preserve">potential Adult </w:t>
      </w:r>
      <w:r w:rsidRPr="001B2B54">
        <w:t xml:space="preserve">Critical Care </w:t>
      </w:r>
      <w:r w:rsidRPr="001B2B54">
        <w:rPr>
          <w:spacing w:val="-3"/>
        </w:rPr>
        <w:t>capacity</w:t>
      </w:r>
      <w:r>
        <w:rPr>
          <w:spacing w:val="-3"/>
        </w:rPr>
        <w:t>;</w:t>
      </w:r>
    </w:p>
    <w:p w14:paraId="4A6D3434" w14:textId="1E38B2C6" w:rsidR="00E41CC8" w:rsidRPr="001B2B54" w:rsidRDefault="00E41CC8" w:rsidP="00EE3FE3">
      <w:pPr>
        <w:pStyle w:val="BodyText"/>
        <w:numPr>
          <w:ilvl w:val="0"/>
          <w:numId w:val="21"/>
        </w:numPr>
        <w:spacing w:line="312" w:lineRule="auto"/>
        <w:rPr>
          <w:spacing w:val="-3"/>
        </w:rPr>
      </w:pPr>
      <w:r w:rsidRPr="001B2B54">
        <w:rPr>
          <w:spacing w:val="-3"/>
        </w:rPr>
        <w:t xml:space="preserve">a consistent approach by which providers of Adult Critical Care Services can escalate </w:t>
      </w:r>
      <w:r>
        <w:rPr>
          <w:b/>
          <w:bCs/>
          <w:spacing w:val="-3"/>
        </w:rPr>
        <w:t>very high</w:t>
      </w:r>
      <w:r>
        <w:rPr>
          <w:rStyle w:val="FootnoteReference"/>
          <w:b/>
          <w:bCs/>
          <w:spacing w:val="-3"/>
        </w:rPr>
        <w:footnoteReference w:id="1"/>
      </w:r>
      <w:r w:rsidRPr="0031365D">
        <w:rPr>
          <w:b/>
          <w:bCs/>
          <w:spacing w:val="-3"/>
        </w:rPr>
        <w:t xml:space="preserve"> </w:t>
      </w:r>
      <w:r w:rsidRPr="001B2B54">
        <w:rPr>
          <w:spacing w:val="-3"/>
        </w:rPr>
        <w:t>capacity pressures to commissioners and NHS</w:t>
      </w:r>
      <w:r w:rsidR="009D7DD1">
        <w:rPr>
          <w:spacing w:val="-3"/>
        </w:rPr>
        <w:t xml:space="preserve"> </w:t>
      </w:r>
      <w:r w:rsidRPr="001B2B54">
        <w:rPr>
          <w:spacing w:val="-3"/>
        </w:rPr>
        <w:t>E</w:t>
      </w:r>
      <w:r w:rsidR="009D7DD1">
        <w:rPr>
          <w:spacing w:val="-3"/>
        </w:rPr>
        <w:t>ngland (NHSE)</w:t>
      </w:r>
      <w:r w:rsidRPr="001B2B54">
        <w:rPr>
          <w:spacing w:val="-3"/>
        </w:rPr>
        <w:t xml:space="preserve"> in </w:t>
      </w:r>
      <w:r w:rsidR="0027198B">
        <w:rPr>
          <w:spacing w:val="-3"/>
        </w:rPr>
        <w:t xml:space="preserve">the </w:t>
      </w:r>
      <w:r w:rsidRPr="001B2B54">
        <w:rPr>
          <w:spacing w:val="-3"/>
        </w:rPr>
        <w:t>region</w:t>
      </w:r>
      <w:r w:rsidR="00E9379A">
        <w:rPr>
          <w:spacing w:val="-3"/>
        </w:rPr>
        <w:t>;</w:t>
      </w:r>
    </w:p>
    <w:p w14:paraId="5A78946B" w14:textId="0ACB65AA" w:rsidR="00E41CC8" w:rsidRPr="001B2B54" w:rsidRDefault="00E41CC8" w:rsidP="00EE3FE3">
      <w:pPr>
        <w:pStyle w:val="BodyText"/>
        <w:numPr>
          <w:ilvl w:val="0"/>
          <w:numId w:val="21"/>
        </w:numPr>
        <w:spacing w:line="312" w:lineRule="auto"/>
        <w:rPr>
          <w:spacing w:val="-3"/>
        </w:rPr>
      </w:pPr>
      <w:r w:rsidRPr="001B2B54">
        <w:rPr>
          <w:spacing w:val="-3"/>
        </w:rPr>
        <w:t xml:space="preserve">how </w:t>
      </w:r>
      <w:r>
        <w:rPr>
          <w:spacing w:val="-3"/>
        </w:rPr>
        <w:t xml:space="preserve">provider </w:t>
      </w:r>
      <w:r w:rsidRPr="001B2B54">
        <w:rPr>
          <w:spacing w:val="-3"/>
        </w:rPr>
        <w:t>organisations, Adult Critical Care Networks</w:t>
      </w:r>
      <w:r>
        <w:rPr>
          <w:spacing w:val="-3"/>
        </w:rPr>
        <w:t>, Integrated Care Systems (ICSs)</w:t>
      </w:r>
      <w:r w:rsidRPr="001B2B54">
        <w:rPr>
          <w:spacing w:val="-3"/>
        </w:rPr>
        <w:t xml:space="preserve"> and the</w:t>
      </w:r>
      <w:r>
        <w:rPr>
          <w:spacing w:val="-3"/>
        </w:rPr>
        <w:t>ir</w:t>
      </w:r>
      <w:r w:rsidRPr="001B2B54">
        <w:rPr>
          <w:spacing w:val="-3"/>
        </w:rPr>
        <w:t xml:space="preserve"> stakeholders</w:t>
      </w:r>
      <w:r>
        <w:rPr>
          <w:spacing w:val="-3"/>
        </w:rPr>
        <w:t xml:space="preserve"> </w:t>
      </w:r>
      <w:r w:rsidRPr="001B2B54">
        <w:rPr>
          <w:spacing w:val="-3"/>
        </w:rPr>
        <w:t>should act</w:t>
      </w:r>
      <w:r>
        <w:rPr>
          <w:spacing w:val="-3"/>
        </w:rPr>
        <w:t xml:space="preserve"> in </w:t>
      </w:r>
      <w:r w:rsidRPr="00F860A7">
        <w:rPr>
          <w:spacing w:val="-3"/>
        </w:rPr>
        <w:t>response to such escalations</w:t>
      </w:r>
      <w:r w:rsidR="00E9379A">
        <w:rPr>
          <w:spacing w:val="-3"/>
        </w:rPr>
        <w:t>; and</w:t>
      </w:r>
    </w:p>
    <w:p w14:paraId="38D77DA4" w14:textId="7FE08714" w:rsidR="00E41CC8" w:rsidRPr="00273E83" w:rsidRDefault="00E41CC8" w:rsidP="00EE3FE3">
      <w:pPr>
        <w:pStyle w:val="BodyText"/>
        <w:numPr>
          <w:ilvl w:val="0"/>
          <w:numId w:val="21"/>
        </w:numPr>
        <w:spacing w:line="312" w:lineRule="auto"/>
      </w:pPr>
      <w:r w:rsidRPr="001B2B54">
        <w:rPr>
          <w:spacing w:val="-3"/>
        </w:rPr>
        <w:t xml:space="preserve">the </w:t>
      </w:r>
      <w:r w:rsidRPr="001B2B54">
        <w:rPr>
          <w:spacing w:val="-4"/>
        </w:rPr>
        <w:t xml:space="preserve">anticipated </w:t>
      </w:r>
      <w:r w:rsidRPr="001B2B54">
        <w:rPr>
          <w:spacing w:val="-3"/>
        </w:rPr>
        <w:t xml:space="preserve">escalation </w:t>
      </w:r>
      <w:r w:rsidRPr="001B2B54">
        <w:t xml:space="preserve">process </w:t>
      </w:r>
      <w:r w:rsidRPr="001B2B54">
        <w:rPr>
          <w:spacing w:val="-4"/>
        </w:rPr>
        <w:t xml:space="preserve">locally, </w:t>
      </w:r>
      <w:r w:rsidRPr="001B2B54">
        <w:rPr>
          <w:spacing w:val="-5"/>
        </w:rPr>
        <w:t xml:space="preserve">regionally, </w:t>
      </w:r>
      <w:r w:rsidRPr="001B2B54">
        <w:rPr>
          <w:spacing w:val="-4"/>
        </w:rPr>
        <w:t xml:space="preserve">and </w:t>
      </w:r>
      <w:r w:rsidRPr="001B2B54">
        <w:rPr>
          <w:spacing w:val="-6"/>
        </w:rPr>
        <w:t xml:space="preserve">nationally </w:t>
      </w:r>
      <w:r w:rsidRPr="001B2B54">
        <w:t xml:space="preserve">across </w:t>
      </w:r>
      <w:r w:rsidRPr="001B2B54">
        <w:rPr>
          <w:spacing w:val="-10"/>
        </w:rPr>
        <w:t>NHS</w:t>
      </w:r>
      <w:r w:rsidRPr="001B2B54">
        <w:rPr>
          <w:spacing w:val="-5"/>
        </w:rPr>
        <w:t xml:space="preserve">E </w:t>
      </w:r>
      <w:r w:rsidRPr="001B2B54">
        <w:rPr>
          <w:spacing w:val="-3"/>
        </w:rPr>
        <w:t xml:space="preserve">in support of Adult </w:t>
      </w:r>
      <w:r w:rsidRPr="001B2B54">
        <w:t xml:space="preserve">Critical Care </w:t>
      </w:r>
      <w:r w:rsidRPr="001B2B54">
        <w:rPr>
          <w:spacing w:val="-5"/>
        </w:rPr>
        <w:t xml:space="preserve">Networks </w:t>
      </w:r>
      <w:r w:rsidRPr="001B2B54">
        <w:rPr>
          <w:spacing w:val="-4"/>
        </w:rPr>
        <w:t xml:space="preserve">(including </w:t>
      </w:r>
      <w:r w:rsidRPr="001B2B54">
        <w:rPr>
          <w:spacing w:val="-3"/>
        </w:rPr>
        <w:t xml:space="preserve">the </w:t>
      </w:r>
      <w:r w:rsidRPr="001B2B54">
        <w:rPr>
          <w:spacing w:val="-10"/>
        </w:rPr>
        <w:t xml:space="preserve">NHS </w:t>
      </w:r>
      <w:r w:rsidRPr="001B2B54">
        <w:rPr>
          <w:spacing w:val="-4"/>
        </w:rPr>
        <w:t xml:space="preserve">Strategic </w:t>
      </w:r>
      <w:r w:rsidRPr="001B2B54">
        <w:t xml:space="preserve">Command </w:t>
      </w:r>
      <w:r w:rsidRPr="001B2B54">
        <w:rPr>
          <w:spacing w:val="-4"/>
        </w:rPr>
        <w:t xml:space="preserve">arrangements </w:t>
      </w:r>
      <w:r w:rsidRPr="001B2B54">
        <w:t xml:space="preserve">to </w:t>
      </w:r>
      <w:r w:rsidRPr="001B2B54">
        <w:rPr>
          <w:spacing w:val="-3"/>
        </w:rPr>
        <w:t xml:space="preserve">be implemented by </w:t>
      </w:r>
      <w:r w:rsidRPr="001B2B54">
        <w:rPr>
          <w:spacing w:val="-10"/>
        </w:rPr>
        <w:t>NHS</w:t>
      </w:r>
      <w:r w:rsidRPr="001B2B54">
        <w:rPr>
          <w:spacing w:val="-5"/>
        </w:rPr>
        <w:t xml:space="preserve">E </w:t>
      </w:r>
      <w:r w:rsidRPr="001B2B54">
        <w:rPr>
          <w:spacing w:val="-3"/>
        </w:rPr>
        <w:t xml:space="preserve">should </w:t>
      </w:r>
      <w:r w:rsidRPr="001B2B54">
        <w:rPr>
          <w:spacing w:val="-4"/>
        </w:rPr>
        <w:t xml:space="preserve">they </w:t>
      </w:r>
      <w:r w:rsidRPr="001B2B54">
        <w:rPr>
          <w:spacing w:val="-3"/>
        </w:rPr>
        <w:t>be</w:t>
      </w:r>
      <w:r w:rsidRPr="001B2B54">
        <w:rPr>
          <w:spacing w:val="28"/>
        </w:rPr>
        <w:t xml:space="preserve"> </w:t>
      </w:r>
      <w:r w:rsidRPr="001B2B54">
        <w:rPr>
          <w:spacing w:val="-4"/>
        </w:rPr>
        <w:t>required).</w:t>
      </w:r>
    </w:p>
    <w:p w14:paraId="2571A18C" w14:textId="77777777" w:rsidR="00273E83" w:rsidRPr="001B2B54" w:rsidRDefault="00273E83" w:rsidP="00B11904">
      <w:pPr>
        <w:pStyle w:val="BodyText"/>
        <w:spacing w:line="312" w:lineRule="auto"/>
        <w:ind w:left="851"/>
      </w:pPr>
    </w:p>
    <w:p w14:paraId="5E50F796" w14:textId="77777777" w:rsidR="00FB3382" w:rsidRDefault="00FB3382" w:rsidP="00EE3FE3">
      <w:pPr>
        <w:pStyle w:val="BodyText"/>
        <w:numPr>
          <w:ilvl w:val="1"/>
          <w:numId w:val="20"/>
        </w:numPr>
        <w:spacing w:line="312" w:lineRule="auto"/>
        <w:ind w:left="567" w:hanging="567"/>
        <w:rPr>
          <w:spacing w:val="-10"/>
        </w:rPr>
      </w:pPr>
      <w:r w:rsidRPr="00D34477">
        <w:rPr>
          <w:spacing w:val="-10"/>
        </w:rPr>
        <w:t>For the purpose of this document</w:t>
      </w:r>
      <w:r>
        <w:rPr>
          <w:spacing w:val="-10"/>
        </w:rPr>
        <w:t>,</w:t>
      </w:r>
      <w:r w:rsidRPr="00D34477">
        <w:rPr>
          <w:spacing w:val="-10"/>
        </w:rPr>
        <w:t xml:space="preserve"> ‘critically ill’ is defined as requiring a level of care greater than </w:t>
      </w:r>
      <w:r>
        <w:rPr>
          <w:spacing w:val="-10"/>
        </w:rPr>
        <w:t xml:space="preserve">that </w:t>
      </w:r>
      <w:r w:rsidRPr="00D34477">
        <w:rPr>
          <w:spacing w:val="-10"/>
        </w:rPr>
        <w:t>normally provided on a standard hospital ward</w:t>
      </w:r>
      <w:r>
        <w:rPr>
          <w:spacing w:val="-10"/>
        </w:rPr>
        <w:t>.</w:t>
      </w:r>
    </w:p>
    <w:p w14:paraId="66DABF9A" w14:textId="77777777" w:rsidR="00762D5A" w:rsidRDefault="00762D5A" w:rsidP="00B11904">
      <w:pPr>
        <w:pStyle w:val="BodyText"/>
        <w:spacing w:line="312" w:lineRule="auto"/>
        <w:ind w:left="567"/>
        <w:rPr>
          <w:spacing w:val="-10"/>
        </w:rPr>
      </w:pPr>
    </w:p>
    <w:p w14:paraId="6DB0E5A9" w14:textId="77777777" w:rsidR="00762D5A" w:rsidRPr="00762D5A" w:rsidRDefault="00762D5A" w:rsidP="00EE3FE3">
      <w:pPr>
        <w:pStyle w:val="BodyText"/>
        <w:numPr>
          <w:ilvl w:val="1"/>
          <w:numId w:val="20"/>
        </w:numPr>
        <w:spacing w:line="312" w:lineRule="auto"/>
        <w:ind w:left="567" w:hanging="567"/>
        <w:rPr>
          <w:spacing w:val="-10"/>
        </w:rPr>
      </w:pPr>
      <w:r w:rsidRPr="00762D5A">
        <w:rPr>
          <w:spacing w:val="-10"/>
        </w:rPr>
        <w:t>Levels of care are defined based on the monitoring and support patients require, rather than the location in which they are receiving care. They have been developed by the Intensive Care Society and set out in their Levels of adult critical care Consensus statement as described in Table 1 (below):</w:t>
      </w:r>
    </w:p>
    <w:p w14:paraId="5790FE5F" w14:textId="77777777" w:rsidR="00FF01C3" w:rsidRDefault="00FF01C3" w:rsidP="005B21FE">
      <w:pPr>
        <w:pStyle w:val="BodyText"/>
        <w:spacing w:line="276" w:lineRule="auto"/>
      </w:pPr>
    </w:p>
    <w:tbl>
      <w:tblPr>
        <w:tblStyle w:val="TableGrid1"/>
        <w:tblW w:w="0" w:type="auto"/>
        <w:tblLook w:val="04A0" w:firstRow="1" w:lastRow="0" w:firstColumn="1" w:lastColumn="0" w:noHBand="0" w:noVBand="1"/>
      </w:tblPr>
      <w:tblGrid>
        <w:gridCol w:w="8891"/>
      </w:tblGrid>
      <w:tr w:rsidR="00E95B84" w:rsidRPr="00E95B84" w14:paraId="50EA7396" w14:textId="77777777" w:rsidTr="00976B9A">
        <w:tc>
          <w:tcPr>
            <w:tcW w:w="8891" w:type="dxa"/>
          </w:tcPr>
          <w:p w14:paraId="37AF13C1" w14:textId="77777777" w:rsidR="00E95B84" w:rsidRPr="00E95B84" w:rsidRDefault="00E95B84" w:rsidP="00E95B84">
            <w:pPr>
              <w:spacing w:after="280" w:line="360" w:lineRule="atLeast"/>
              <w:jc w:val="center"/>
              <w:textboxTightWrap w:val="lastLineOnly"/>
              <w:rPr>
                <w:rFonts w:eastAsia="Calibri"/>
                <w:b/>
                <w:bCs/>
                <w:color w:val="2F5496"/>
                <w:sz w:val="24"/>
                <w:szCs w:val="24"/>
                <w:lang w:bidi="ar-SA"/>
              </w:rPr>
            </w:pPr>
            <w:r w:rsidRPr="00E95B84">
              <w:rPr>
                <w:rFonts w:eastAsia="Calibri"/>
                <w:b/>
                <w:bCs/>
                <w:color w:val="2F5496"/>
                <w:sz w:val="24"/>
                <w:szCs w:val="24"/>
                <w:lang w:bidi="ar-SA"/>
              </w:rPr>
              <w:t>Ward Care</w:t>
            </w:r>
          </w:p>
          <w:p w14:paraId="529591AD" w14:textId="77777777" w:rsidR="00E95B84" w:rsidRPr="00E95B84" w:rsidRDefault="00E95B84" w:rsidP="00EE3FE3">
            <w:pPr>
              <w:numPr>
                <w:ilvl w:val="0"/>
                <w:numId w:val="15"/>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whose needs can be met through normal ward care in an acute hospital.</w:t>
            </w:r>
          </w:p>
          <w:p w14:paraId="4F028D63" w14:textId="77777777" w:rsidR="00E95B84" w:rsidRPr="00E95B84" w:rsidRDefault="00E95B84" w:rsidP="00EE3FE3">
            <w:pPr>
              <w:numPr>
                <w:ilvl w:val="0"/>
                <w:numId w:val="15"/>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who have recently been relocated from a higher level of care, but their needs can be met on an acute ward with additional advice and support from the critical care outreach team.</w:t>
            </w:r>
          </w:p>
          <w:p w14:paraId="2FF6EC40" w14:textId="77777777" w:rsidR="00E95B84" w:rsidRPr="00E95B84" w:rsidRDefault="00E95B84" w:rsidP="00EE3FE3">
            <w:pPr>
              <w:numPr>
                <w:ilvl w:val="0"/>
                <w:numId w:val="15"/>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who can be managed on a ward but remain at risk of clinical deterioration. </w:t>
            </w:r>
          </w:p>
          <w:p w14:paraId="37337C34" w14:textId="77777777" w:rsidR="00E95B84" w:rsidRDefault="00E95B84" w:rsidP="00E95B84">
            <w:pPr>
              <w:ind w:left="720"/>
              <w:contextualSpacing/>
              <w:rPr>
                <w:rFonts w:eastAsia="Calibri"/>
                <w:color w:val="000000"/>
                <w:sz w:val="24"/>
                <w:szCs w:val="24"/>
                <w:lang w:bidi="ar-SA"/>
              </w:rPr>
            </w:pPr>
          </w:p>
          <w:p w14:paraId="59059C06" w14:textId="77777777" w:rsidR="00AB3FC0" w:rsidRDefault="00AB3FC0" w:rsidP="00E95B84">
            <w:pPr>
              <w:ind w:left="720"/>
              <w:contextualSpacing/>
              <w:rPr>
                <w:rFonts w:eastAsia="Calibri"/>
                <w:color w:val="000000"/>
                <w:sz w:val="24"/>
                <w:szCs w:val="24"/>
                <w:lang w:bidi="ar-SA"/>
              </w:rPr>
            </w:pPr>
          </w:p>
          <w:p w14:paraId="69AC5021" w14:textId="77777777" w:rsidR="00AB3FC0" w:rsidRDefault="00AB3FC0" w:rsidP="00E95B84">
            <w:pPr>
              <w:ind w:left="720"/>
              <w:contextualSpacing/>
              <w:rPr>
                <w:rFonts w:eastAsia="Calibri"/>
                <w:color w:val="000000"/>
                <w:sz w:val="24"/>
                <w:szCs w:val="24"/>
                <w:lang w:bidi="ar-SA"/>
              </w:rPr>
            </w:pPr>
          </w:p>
          <w:p w14:paraId="2ED2328F" w14:textId="77777777" w:rsidR="00AB3FC0" w:rsidRPr="00E95B84" w:rsidRDefault="00AB3FC0" w:rsidP="00E95B84">
            <w:pPr>
              <w:ind w:left="720"/>
              <w:contextualSpacing/>
              <w:rPr>
                <w:rFonts w:eastAsia="Calibri"/>
                <w:color w:val="000000"/>
                <w:sz w:val="24"/>
                <w:szCs w:val="24"/>
                <w:lang w:bidi="ar-SA"/>
              </w:rPr>
            </w:pPr>
          </w:p>
        </w:tc>
      </w:tr>
      <w:tr w:rsidR="00E95B84" w:rsidRPr="00E95B84" w14:paraId="475C0F93" w14:textId="77777777" w:rsidTr="00976B9A">
        <w:tc>
          <w:tcPr>
            <w:tcW w:w="8891" w:type="dxa"/>
          </w:tcPr>
          <w:p w14:paraId="4D6120F3" w14:textId="4477DBA7" w:rsidR="00E95B84" w:rsidRPr="00E95B84" w:rsidRDefault="00E95B84" w:rsidP="00E95B84">
            <w:pPr>
              <w:spacing w:after="280" w:line="360" w:lineRule="atLeast"/>
              <w:jc w:val="center"/>
              <w:textboxTightWrap w:val="lastLineOnly"/>
              <w:rPr>
                <w:rFonts w:eastAsia="Calibri"/>
                <w:b/>
                <w:bCs/>
                <w:color w:val="2F5496"/>
                <w:sz w:val="24"/>
                <w:szCs w:val="24"/>
                <w:lang w:bidi="ar-SA"/>
              </w:rPr>
            </w:pPr>
            <w:r w:rsidRPr="00E95B84">
              <w:rPr>
                <w:rFonts w:eastAsia="Calibri"/>
                <w:b/>
                <w:bCs/>
                <w:color w:val="2F5496"/>
                <w:sz w:val="24"/>
                <w:szCs w:val="24"/>
                <w:lang w:bidi="ar-SA"/>
              </w:rPr>
              <w:lastRenderedPageBreak/>
              <w:t>Level 1 – Enhanced Care</w:t>
            </w:r>
          </w:p>
          <w:p w14:paraId="2239F3DA" w14:textId="77777777" w:rsidR="00E95B84" w:rsidRPr="00E95B84" w:rsidRDefault="00E95B84" w:rsidP="00EE3FE3">
            <w:pPr>
              <w:numPr>
                <w:ilvl w:val="0"/>
                <w:numId w:val="16"/>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requiring more details observations or interventions, including basic support for a single organ system and those ‘stepping down’ from higher levels of care. </w:t>
            </w:r>
          </w:p>
          <w:p w14:paraId="244CC96A" w14:textId="77777777" w:rsidR="00E95B84" w:rsidRPr="00E95B84" w:rsidRDefault="00E95B84" w:rsidP="00EE3FE3">
            <w:pPr>
              <w:numPr>
                <w:ilvl w:val="0"/>
                <w:numId w:val="16"/>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requiring interventions to prevent further deterioration or rehabilitation needs which cannot be met on a normal ward.</w:t>
            </w:r>
          </w:p>
          <w:p w14:paraId="30D7AB78" w14:textId="77777777" w:rsidR="00E95B84" w:rsidRPr="00E95B84" w:rsidRDefault="00E95B84" w:rsidP="00EE3FE3">
            <w:pPr>
              <w:numPr>
                <w:ilvl w:val="0"/>
                <w:numId w:val="16"/>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who require ongoing interventions (other than routine follow up) from critical care outreach teams to intervene in deterioration or to support escalation of care.</w:t>
            </w:r>
          </w:p>
          <w:p w14:paraId="5CD9EAC4" w14:textId="77777777" w:rsidR="00E95B84" w:rsidRPr="00E95B84" w:rsidRDefault="00E95B84" w:rsidP="00EE3FE3">
            <w:pPr>
              <w:numPr>
                <w:ilvl w:val="0"/>
                <w:numId w:val="16"/>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needing a greater degree of observation and monitoring that cannot be safely provided on a ward, judged on the basis of clinical circumstances and ward resources.</w:t>
            </w:r>
          </w:p>
          <w:p w14:paraId="2F1048AE" w14:textId="77777777" w:rsidR="00E95B84" w:rsidRPr="00E95B84" w:rsidRDefault="00E95B84" w:rsidP="00EE3FE3">
            <w:pPr>
              <w:numPr>
                <w:ilvl w:val="0"/>
                <w:numId w:val="16"/>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who would benefit from Enhanced Perioperative Care. </w:t>
            </w:r>
          </w:p>
          <w:p w14:paraId="4979F58C" w14:textId="77777777" w:rsidR="00AB3FC0" w:rsidRDefault="00AB3FC0" w:rsidP="00E95B84">
            <w:pPr>
              <w:spacing w:after="280" w:line="360" w:lineRule="atLeast"/>
              <w:jc w:val="center"/>
              <w:textboxTightWrap w:val="lastLineOnly"/>
              <w:rPr>
                <w:rFonts w:eastAsia="Calibri"/>
                <w:b/>
                <w:bCs/>
                <w:color w:val="2F5496"/>
                <w:sz w:val="24"/>
                <w:szCs w:val="24"/>
                <w:lang w:bidi="ar-SA"/>
              </w:rPr>
            </w:pPr>
          </w:p>
          <w:p w14:paraId="1EC10F22" w14:textId="2B507A8B" w:rsidR="00E95B84" w:rsidRPr="00E95B84" w:rsidRDefault="00E95B84" w:rsidP="00E95B84">
            <w:pPr>
              <w:spacing w:after="280" w:line="360" w:lineRule="atLeast"/>
              <w:jc w:val="center"/>
              <w:textboxTightWrap w:val="lastLineOnly"/>
              <w:rPr>
                <w:rFonts w:eastAsia="Calibri"/>
                <w:b/>
                <w:bCs/>
                <w:color w:val="2F5496"/>
                <w:sz w:val="24"/>
                <w:szCs w:val="24"/>
                <w:lang w:bidi="ar-SA"/>
              </w:rPr>
            </w:pPr>
            <w:r w:rsidRPr="00E95B84">
              <w:rPr>
                <w:rFonts w:eastAsia="Calibri"/>
                <w:b/>
                <w:bCs/>
                <w:color w:val="2F5496"/>
                <w:sz w:val="24"/>
                <w:szCs w:val="24"/>
                <w:lang w:bidi="ar-SA"/>
              </w:rPr>
              <w:t>Level 2 – Critical Care</w:t>
            </w:r>
          </w:p>
          <w:p w14:paraId="6F6E4F9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requiring increased levels of observations or interventions (beyond level 1) including basic support for two or more organ systems and those ‘stepping down’ from higher levels of care.</w:t>
            </w:r>
          </w:p>
          <w:p w14:paraId="75F0FFB7"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requiring interventions to prevent further deterioration or rehabilitation needs, beyond that of level 1.</w:t>
            </w:r>
          </w:p>
          <w:p w14:paraId="398F0CF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needing two or more basic organ system monitoring and support. </w:t>
            </w:r>
          </w:p>
          <w:p w14:paraId="3FF202FA"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needing one organ systems monitored and supported at an advanced level (other than advanced respiratory support).</w:t>
            </w:r>
          </w:p>
          <w:p w14:paraId="42690C15"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needing long term advanced respiratory support. </w:t>
            </w:r>
          </w:p>
          <w:p w14:paraId="5301649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who require Level 1 care for organ support but who require enhanced nursing for other reasons, in particular maintaining their safety if severely agitated. </w:t>
            </w:r>
          </w:p>
          <w:p w14:paraId="777D8C7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needing extended post-operative care, outside that which can be provided in enhanced care units; extended postoperative observation is required either because of the nature of the procedure and/or the patient’s condition and co-morbidities. </w:t>
            </w:r>
          </w:p>
          <w:p w14:paraId="26836CC1"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with major uncorrected physiological abnormalities, whose care needs cannot be met elsewhere.</w:t>
            </w:r>
          </w:p>
          <w:p w14:paraId="1AEFFDC2"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requiring nursing and therapies input more frequently than available in level 1 areas. </w:t>
            </w:r>
          </w:p>
          <w:p w14:paraId="03E6C68F" w14:textId="77777777" w:rsidR="00E95B84" w:rsidRPr="00E95B84" w:rsidRDefault="00E95B84" w:rsidP="00E95B84">
            <w:pPr>
              <w:ind w:left="720"/>
              <w:contextualSpacing/>
              <w:rPr>
                <w:rFonts w:eastAsia="Calibri"/>
                <w:color w:val="000000"/>
                <w:sz w:val="24"/>
                <w:szCs w:val="24"/>
                <w:lang w:bidi="ar-SA"/>
              </w:rPr>
            </w:pPr>
          </w:p>
        </w:tc>
      </w:tr>
      <w:tr w:rsidR="00E95B84" w:rsidRPr="00E95B84" w14:paraId="24A884D8" w14:textId="77777777" w:rsidTr="00976B9A">
        <w:tc>
          <w:tcPr>
            <w:tcW w:w="8891" w:type="dxa"/>
          </w:tcPr>
          <w:p w14:paraId="31CE5A03" w14:textId="05A6CE03" w:rsidR="00E95B84" w:rsidRPr="00E95B84" w:rsidRDefault="00E95B84" w:rsidP="00E95B84">
            <w:pPr>
              <w:spacing w:after="280" w:line="360" w:lineRule="atLeast"/>
              <w:jc w:val="center"/>
              <w:textboxTightWrap w:val="lastLineOnly"/>
              <w:rPr>
                <w:rFonts w:eastAsia="Calibri"/>
                <w:b/>
                <w:bCs/>
                <w:color w:val="2F5496"/>
                <w:sz w:val="24"/>
                <w:szCs w:val="24"/>
                <w:lang w:bidi="ar-SA"/>
              </w:rPr>
            </w:pPr>
            <w:r w:rsidRPr="00E95B84">
              <w:rPr>
                <w:rFonts w:eastAsia="Calibri"/>
                <w:b/>
                <w:bCs/>
                <w:color w:val="2F5496"/>
                <w:sz w:val="24"/>
                <w:szCs w:val="24"/>
                <w:lang w:bidi="ar-SA"/>
              </w:rPr>
              <w:lastRenderedPageBreak/>
              <w:t>Level 3 – Critical Care</w:t>
            </w:r>
          </w:p>
          <w:p w14:paraId="545FF63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needing advanced respiratory monitoring and support alone. </w:t>
            </w:r>
          </w:p>
          <w:p w14:paraId="00765124"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requiring monitoring and support for two or more organ systems at an advanced level. </w:t>
            </w:r>
          </w:p>
          <w:p w14:paraId="5613706C"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 xml:space="preserve">Patients with chronic impairment of one or more organ systems sufficient to restrict daily activities (co-morbidity) and who require support for an acute reversible failure of another organ system. </w:t>
            </w:r>
          </w:p>
          <w:p w14:paraId="42CCCEBB" w14:textId="77777777" w:rsidR="00E95B84" w:rsidRPr="00E95B84" w:rsidRDefault="00E95B84" w:rsidP="00EE3FE3">
            <w:pPr>
              <w:numPr>
                <w:ilvl w:val="0"/>
                <w:numId w:val="17"/>
              </w:numPr>
              <w:spacing w:after="280" w:line="360" w:lineRule="atLeast"/>
              <w:contextualSpacing/>
              <w:textboxTightWrap w:val="lastLineOnly"/>
              <w:rPr>
                <w:rFonts w:eastAsia="Calibri"/>
                <w:color w:val="000000"/>
                <w:sz w:val="24"/>
                <w:szCs w:val="24"/>
                <w:lang w:bidi="ar-SA"/>
              </w:rPr>
            </w:pPr>
            <w:r w:rsidRPr="00E95B84">
              <w:rPr>
                <w:rFonts w:eastAsia="Calibri"/>
                <w:color w:val="000000"/>
                <w:sz w:val="24"/>
                <w:szCs w:val="24"/>
                <w:lang w:bidi="ar-SA"/>
              </w:rPr>
              <w:t>Patients who experience delirium and agitation to requiring level 2 care.</w:t>
            </w:r>
          </w:p>
          <w:p w14:paraId="4623A5AA" w14:textId="77777777" w:rsidR="00E95B84" w:rsidRPr="00E95B84" w:rsidRDefault="00E95B84" w:rsidP="00EE3FE3">
            <w:pPr>
              <w:numPr>
                <w:ilvl w:val="0"/>
                <w:numId w:val="17"/>
              </w:numPr>
              <w:spacing w:after="280" w:line="360" w:lineRule="atLeast"/>
              <w:contextualSpacing/>
              <w:textboxTightWrap w:val="lastLineOnly"/>
              <w:rPr>
                <w:rFonts w:eastAsia="Times New Roman" w:cs="Times New Roman"/>
                <w:color w:val="000000"/>
                <w:sz w:val="24"/>
                <w:szCs w:val="24"/>
                <w:lang w:bidi="ar-SA"/>
              </w:rPr>
            </w:pPr>
            <w:r w:rsidRPr="00E95B84">
              <w:rPr>
                <w:rFonts w:eastAsia="Calibri"/>
                <w:color w:val="000000"/>
                <w:sz w:val="24"/>
                <w:szCs w:val="24"/>
                <w:lang w:bidi="ar-SA"/>
              </w:rPr>
              <w:t>Complex patients requiring support for multiple organ failures, this may not necessarily include advanced respiratory support.</w:t>
            </w:r>
          </w:p>
          <w:p w14:paraId="60973A68" w14:textId="77777777" w:rsidR="00E95B84" w:rsidRPr="00E95B84" w:rsidRDefault="00E95B84" w:rsidP="00E95B84">
            <w:pPr>
              <w:ind w:left="720"/>
              <w:contextualSpacing/>
              <w:rPr>
                <w:rFonts w:eastAsia="Times New Roman" w:cs="Times New Roman"/>
                <w:color w:val="000000"/>
                <w:sz w:val="24"/>
                <w:szCs w:val="24"/>
                <w:lang w:bidi="ar-SA"/>
              </w:rPr>
            </w:pPr>
          </w:p>
        </w:tc>
      </w:tr>
    </w:tbl>
    <w:p w14:paraId="68B09A80" w14:textId="51F0C9BE" w:rsidR="00FE1530" w:rsidRPr="00DD417D" w:rsidRDefault="00E41CC8" w:rsidP="00DD417D">
      <w:pPr>
        <w:pStyle w:val="Caption"/>
        <w:jc w:val="right"/>
        <w:rPr>
          <w:b/>
          <w:spacing w:val="-10"/>
          <w:sz w:val="24"/>
          <w:szCs w:val="24"/>
        </w:rPr>
      </w:pPr>
      <w:r w:rsidRPr="00DD417D">
        <w:rPr>
          <w:b/>
        </w:rPr>
        <w:t xml:space="preserve">Table </w:t>
      </w:r>
      <w:r w:rsidRPr="00DD417D">
        <w:rPr>
          <w:b/>
        </w:rPr>
        <w:fldChar w:fldCharType="begin"/>
      </w:r>
      <w:r w:rsidRPr="00DD417D">
        <w:rPr>
          <w:b/>
        </w:rPr>
        <w:instrText xml:space="preserve"> SEQ Table \* ARABIC </w:instrText>
      </w:r>
      <w:r w:rsidRPr="00DD417D">
        <w:rPr>
          <w:b/>
        </w:rPr>
        <w:fldChar w:fldCharType="separate"/>
      </w:r>
      <w:r>
        <w:rPr>
          <w:b/>
          <w:noProof/>
        </w:rPr>
        <w:t>1</w:t>
      </w:r>
      <w:r w:rsidRPr="00DD417D">
        <w:rPr>
          <w:b/>
        </w:rPr>
        <w:fldChar w:fldCharType="end"/>
      </w:r>
      <w:r w:rsidRPr="00DD417D">
        <w:rPr>
          <w:b/>
        </w:rPr>
        <w:t>: levels of Care. From Intensive Care Society defin</w:t>
      </w:r>
      <w:r>
        <w:rPr>
          <w:b/>
        </w:rPr>
        <w:t>i</w:t>
      </w:r>
      <w:r w:rsidRPr="00DD417D">
        <w:rPr>
          <w:b/>
        </w:rPr>
        <w:t xml:space="preserve">tions. </w:t>
      </w:r>
    </w:p>
    <w:p w14:paraId="344A0806" w14:textId="77777777" w:rsidR="003817CD" w:rsidRDefault="003817CD" w:rsidP="003817CD">
      <w:pPr>
        <w:pStyle w:val="ListParagraph"/>
        <w:spacing w:after="120" w:line="276" w:lineRule="auto"/>
        <w:ind w:left="993" w:right="99"/>
        <w:rPr>
          <w:spacing w:val="-10"/>
          <w:sz w:val="24"/>
          <w:szCs w:val="24"/>
        </w:rPr>
      </w:pPr>
    </w:p>
    <w:p w14:paraId="331396BE" w14:textId="45ADB6C9" w:rsidR="005D70B7" w:rsidRDefault="000E0487" w:rsidP="00EE3FE3">
      <w:pPr>
        <w:pStyle w:val="BodyText"/>
        <w:numPr>
          <w:ilvl w:val="1"/>
          <w:numId w:val="20"/>
        </w:numPr>
        <w:spacing w:line="312" w:lineRule="auto"/>
        <w:ind w:left="567" w:hanging="567"/>
        <w:rPr>
          <w:spacing w:val="-10"/>
        </w:rPr>
      </w:pPr>
      <w:r w:rsidRPr="00D34477">
        <w:rPr>
          <w:spacing w:val="-10"/>
        </w:rPr>
        <w:t xml:space="preserve">It is recognised that the escalation arrangements outlined in this </w:t>
      </w:r>
      <w:r w:rsidR="000B5A99" w:rsidRPr="00D34477">
        <w:rPr>
          <w:spacing w:val="-10"/>
        </w:rPr>
        <w:t>guidance</w:t>
      </w:r>
      <w:r w:rsidRPr="00D34477">
        <w:rPr>
          <w:spacing w:val="-10"/>
        </w:rPr>
        <w:t xml:space="preserve"> may not be required solely as a result of </w:t>
      </w:r>
      <w:r w:rsidR="00962BD8">
        <w:rPr>
          <w:spacing w:val="-10"/>
        </w:rPr>
        <w:t xml:space="preserve">exceptional </w:t>
      </w:r>
      <w:r w:rsidRPr="00D34477">
        <w:rPr>
          <w:spacing w:val="-10"/>
        </w:rPr>
        <w:t xml:space="preserve">increased demand for Adult Critical Care Services, but also as a requirement to support increases in demand for </w:t>
      </w:r>
      <w:r w:rsidR="004104EE" w:rsidRPr="00D34477">
        <w:rPr>
          <w:spacing w:val="-10"/>
        </w:rPr>
        <w:t xml:space="preserve">interdependent services. </w:t>
      </w:r>
      <w:r w:rsidRPr="00D34477">
        <w:rPr>
          <w:spacing w:val="-10"/>
        </w:rPr>
        <w:t xml:space="preserve">Further information on these services can be found in </w:t>
      </w:r>
      <w:r w:rsidR="001B2B54" w:rsidRPr="00F6144C">
        <w:rPr>
          <w:spacing w:val="-10"/>
        </w:rPr>
        <w:t xml:space="preserve">section </w:t>
      </w:r>
      <w:r w:rsidR="00317558">
        <w:rPr>
          <w:spacing w:val="-10"/>
        </w:rPr>
        <w:t>8</w:t>
      </w:r>
      <w:r w:rsidRPr="00F6144C">
        <w:rPr>
          <w:spacing w:val="-10"/>
        </w:rPr>
        <w:t>.</w:t>
      </w:r>
    </w:p>
    <w:p w14:paraId="46C8ACF8" w14:textId="77777777" w:rsidR="00A8211E" w:rsidRDefault="00A8211E" w:rsidP="00A8211E">
      <w:pPr>
        <w:pStyle w:val="BodyText"/>
        <w:spacing w:line="312" w:lineRule="auto"/>
        <w:ind w:left="567"/>
        <w:rPr>
          <w:spacing w:val="-10"/>
        </w:rPr>
      </w:pPr>
    </w:p>
    <w:p w14:paraId="16433C18" w14:textId="3ED60717" w:rsidR="005D70B7" w:rsidRDefault="00B36D7B" w:rsidP="00EE3FE3">
      <w:pPr>
        <w:pStyle w:val="BodyText"/>
        <w:numPr>
          <w:ilvl w:val="1"/>
          <w:numId w:val="20"/>
        </w:numPr>
        <w:spacing w:line="312" w:lineRule="auto"/>
        <w:ind w:left="567" w:hanging="567"/>
        <w:rPr>
          <w:spacing w:val="-10"/>
        </w:rPr>
      </w:pPr>
      <w:r w:rsidRPr="00657023">
        <w:rPr>
          <w:spacing w:val="-10"/>
        </w:rPr>
        <w:t>To align with the “system first” approach</w:t>
      </w:r>
      <w:r w:rsidR="00333B5C">
        <w:rPr>
          <w:spacing w:val="-10"/>
        </w:rPr>
        <w:t xml:space="preserve">, </w:t>
      </w:r>
      <w:r w:rsidR="00133950" w:rsidRPr="00657023">
        <w:rPr>
          <w:spacing w:val="-10"/>
        </w:rPr>
        <w:t>this guidance sets out stepped thresholds for decision making for each defined phase of surge. As such, t</w:t>
      </w:r>
      <w:r w:rsidR="00DF3662" w:rsidRPr="00657023">
        <w:rPr>
          <w:spacing w:val="-10"/>
        </w:rPr>
        <w:t xml:space="preserve">his </w:t>
      </w:r>
      <w:r w:rsidR="004104EE" w:rsidRPr="00657023">
        <w:rPr>
          <w:spacing w:val="-10"/>
        </w:rPr>
        <w:t xml:space="preserve">guidance </w:t>
      </w:r>
      <w:r w:rsidR="00DF3662" w:rsidRPr="00657023">
        <w:rPr>
          <w:spacing w:val="-10"/>
        </w:rPr>
        <w:t>supplements and</w:t>
      </w:r>
      <w:r w:rsidR="004104EE" w:rsidRPr="00657023">
        <w:rPr>
          <w:spacing w:val="-10"/>
        </w:rPr>
        <w:t xml:space="preserve"> should b</w:t>
      </w:r>
      <w:r w:rsidR="00DF3662" w:rsidRPr="00657023">
        <w:rPr>
          <w:spacing w:val="-10"/>
        </w:rPr>
        <w:t>e read in conjunction with:</w:t>
      </w:r>
    </w:p>
    <w:p w14:paraId="75C097DB" w14:textId="77777777" w:rsidR="00A8211E" w:rsidRPr="00657023" w:rsidRDefault="00A8211E" w:rsidP="00A8211E">
      <w:pPr>
        <w:pStyle w:val="BodyText"/>
        <w:spacing w:line="312" w:lineRule="auto"/>
        <w:rPr>
          <w:spacing w:val="-10"/>
        </w:rPr>
      </w:pPr>
    </w:p>
    <w:p w14:paraId="5C7B5DF1" w14:textId="77777777" w:rsidR="008A05D6" w:rsidRPr="005B5E72" w:rsidRDefault="008A05D6" w:rsidP="00EE3FE3">
      <w:pPr>
        <w:pStyle w:val="BodyText"/>
        <w:numPr>
          <w:ilvl w:val="1"/>
          <w:numId w:val="22"/>
        </w:numPr>
        <w:spacing w:line="312" w:lineRule="auto"/>
        <w:rPr>
          <w:spacing w:val="-10"/>
        </w:rPr>
      </w:pPr>
      <w:r w:rsidRPr="005B5E72">
        <w:rPr>
          <w:spacing w:val="-10"/>
        </w:rPr>
        <w:t>Local escalation plans for adult critical care services</w:t>
      </w:r>
    </w:p>
    <w:p w14:paraId="42501037" w14:textId="4089A207" w:rsidR="00C653B3" w:rsidRPr="006C0402" w:rsidRDefault="00333B5C" w:rsidP="00EE3FE3">
      <w:pPr>
        <w:pStyle w:val="BodyText"/>
        <w:numPr>
          <w:ilvl w:val="1"/>
          <w:numId w:val="22"/>
        </w:numPr>
        <w:spacing w:line="312" w:lineRule="auto"/>
        <w:rPr>
          <w:spacing w:val="-10"/>
        </w:rPr>
      </w:pPr>
      <w:r w:rsidRPr="006C0402">
        <w:rPr>
          <w:spacing w:val="-10"/>
        </w:rPr>
        <w:t>L</w:t>
      </w:r>
      <w:r w:rsidR="00DF3662" w:rsidRPr="006C0402">
        <w:rPr>
          <w:spacing w:val="-10"/>
        </w:rPr>
        <w:t xml:space="preserve">ocal escalation plans for health and social care </w:t>
      </w:r>
      <w:r w:rsidR="0071147C" w:rsidRPr="006C0402">
        <w:rPr>
          <w:spacing w:val="-10"/>
        </w:rPr>
        <w:t>services</w:t>
      </w:r>
      <w:r w:rsidRPr="006C0402">
        <w:rPr>
          <w:spacing w:val="-10"/>
        </w:rPr>
        <w:t>.</w:t>
      </w:r>
    </w:p>
    <w:p w14:paraId="228EF91C" w14:textId="079AC9B3" w:rsidR="00665B14" w:rsidRPr="006C0402" w:rsidRDefault="00333B5C" w:rsidP="00EE3FE3">
      <w:pPr>
        <w:pStyle w:val="BodyText"/>
        <w:numPr>
          <w:ilvl w:val="1"/>
          <w:numId w:val="22"/>
        </w:numPr>
        <w:spacing w:line="312" w:lineRule="auto"/>
        <w:rPr>
          <w:spacing w:val="-10"/>
        </w:rPr>
      </w:pPr>
      <w:r w:rsidRPr="006C0402">
        <w:rPr>
          <w:spacing w:val="-10"/>
        </w:rPr>
        <w:t>S</w:t>
      </w:r>
      <w:r w:rsidR="00665B14" w:rsidRPr="006C0402">
        <w:rPr>
          <w:spacing w:val="-10"/>
        </w:rPr>
        <w:t>tandard operating procedures for adult critical care transfer and other interdependent services</w:t>
      </w:r>
      <w:r w:rsidR="006C0402" w:rsidRPr="006C0402">
        <w:rPr>
          <w:spacing w:val="-10"/>
        </w:rPr>
        <w:t>.</w:t>
      </w:r>
    </w:p>
    <w:p w14:paraId="4CF7697C" w14:textId="7ECEB2DB" w:rsidR="00B50521" w:rsidRPr="005B5E72" w:rsidRDefault="00333B5C" w:rsidP="00EE3FE3">
      <w:pPr>
        <w:pStyle w:val="BodyText"/>
        <w:numPr>
          <w:ilvl w:val="1"/>
          <w:numId w:val="22"/>
        </w:numPr>
        <w:spacing w:line="312" w:lineRule="auto"/>
        <w:rPr>
          <w:spacing w:val="-10"/>
        </w:rPr>
      </w:pPr>
      <w:r w:rsidRPr="005B5E72">
        <w:rPr>
          <w:spacing w:val="-10"/>
        </w:rPr>
        <w:t>O</w:t>
      </w:r>
      <w:r w:rsidR="00DF3662" w:rsidRPr="005B5E72">
        <w:rPr>
          <w:spacing w:val="-10"/>
        </w:rPr>
        <w:t>ther critical care service operational policies together with national and professional bodies' guidance.</w:t>
      </w:r>
    </w:p>
    <w:p w14:paraId="0B63D004" w14:textId="0F2FD105" w:rsidR="00333B5C" w:rsidRPr="006C0402" w:rsidRDefault="006C0402" w:rsidP="006C0402">
      <w:pPr>
        <w:rPr>
          <w:spacing w:val="-10"/>
          <w:sz w:val="24"/>
          <w:szCs w:val="24"/>
        </w:rPr>
      </w:pPr>
      <w:r>
        <w:rPr>
          <w:spacing w:val="-10"/>
        </w:rPr>
        <w:br w:type="page"/>
      </w:r>
    </w:p>
    <w:p w14:paraId="6E5E06AC" w14:textId="17296978" w:rsidR="00DF3662" w:rsidRPr="00DD417D" w:rsidRDefault="00DF3662" w:rsidP="008E2584">
      <w:pPr>
        <w:tabs>
          <w:tab w:val="left" w:pos="1379"/>
          <w:tab w:val="left" w:pos="1380"/>
        </w:tabs>
        <w:spacing w:after="120"/>
        <w:ind w:left="962" w:right="99" w:hanging="962"/>
        <w:rPr>
          <w:b/>
          <w:color w:val="0070C0"/>
          <w:sz w:val="24"/>
          <w:szCs w:val="24"/>
        </w:rPr>
      </w:pPr>
      <w:r w:rsidRPr="00DD417D">
        <w:rPr>
          <w:b/>
          <w:color w:val="0070C0"/>
          <w:sz w:val="24"/>
          <w:szCs w:val="24"/>
        </w:rPr>
        <w:lastRenderedPageBreak/>
        <w:t>Strategic Aims</w:t>
      </w:r>
    </w:p>
    <w:p w14:paraId="6765B5B5" w14:textId="302DC26E" w:rsidR="006121EC" w:rsidRDefault="006121EC" w:rsidP="00EE3FE3">
      <w:pPr>
        <w:pStyle w:val="BodyText"/>
        <w:numPr>
          <w:ilvl w:val="1"/>
          <w:numId w:val="20"/>
        </w:numPr>
        <w:spacing w:line="312" w:lineRule="auto"/>
        <w:ind w:left="567" w:hanging="567"/>
        <w:rPr>
          <w:spacing w:val="-10"/>
        </w:rPr>
      </w:pPr>
      <w:r w:rsidRPr="00B246AE">
        <w:rPr>
          <w:spacing w:val="-10"/>
        </w:rPr>
        <w:t>Th</w:t>
      </w:r>
      <w:r w:rsidR="000D7FBA">
        <w:rPr>
          <w:spacing w:val="-10"/>
        </w:rPr>
        <w:t>is</w:t>
      </w:r>
      <w:r w:rsidRPr="00B246AE">
        <w:rPr>
          <w:spacing w:val="-10"/>
        </w:rPr>
        <w:t xml:space="preserve"> </w:t>
      </w:r>
      <w:r>
        <w:rPr>
          <w:spacing w:val="-10"/>
        </w:rPr>
        <w:t>guidance</w:t>
      </w:r>
      <w:r w:rsidRPr="00B246AE">
        <w:rPr>
          <w:spacing w:val="-10"/>
        </w:rPr>
        <w:t xml:space="preserve"> aims to aid local </w:t>
      </w:r>
      <w:r w:rsidR="00A95010">
        <w:rPr>
          <w:spacing w:val="-10"/>
        </w:rPr>
        <w:t xml:space="preserve">planning for and operational responses </w:t>
      </w:r>
      <w:r w:rsidR="00DD0493">
        <w:rPr>
          <w:spacing w:val="-10"/>
        </w:rPr>
        <w:t xml:space="preserve">to </w:t>
      </w:r>
      <w:r w:rsidR="00DD0493" w:rsidRPr="00B246AE">
        <w:rPr>
          <w:spacing w:val="-10"/>
        </w:rPr>
        <w:t>exceptional</w:t>
      </w:r>
      <w:r w:rsidRPr="00657023">
        <w:rPr>
          <w:spacing w:val="-10"/>
        </w:rPr>
        <w:t xml:space="preserve"> circumstances</w:t>
      </w:r>
      <w:r w:rsidRPr="00380CAD">
        <w:rPr>
          <w:spacing w:val="-10"/>
          <w:vertAlign w:val="superscript"/>
        </w:rPr>
        <w:footnoteReference w:id="2"/>
      </w:r>
      <w:r w:rsidRPr="00A8211E">
        <w:rPr>
          <w:spacing w:val="-10"/>
        </w:rPr>
        <w:t xml:space="preserve"> </w:t>
      </w:r>
      <w:r w:rsidRPr="00B246AE">
        <w:rPr>
          <w:spacing w:val="-10"/>
        </w:rPr>
        <w:t xml:space="preserve">when demand for critical care exceeds usual capacity. </w:t>
      </w:r>
    </w:p>
    <w:p w14:paraId="18CDF223" w14:textId="77777777" w:rsidR="008E2584" w:rsidRPr="00B246AE" w:rsidRDefault="008E2584" w:rsidP="008E2584">
      <w:pPr>
        <w:pStyle w:val="BodyText"/>
        <w:spacing w:line="312" w:lineRule="auto"/>
        <w:ind w:left="567"/>
        <w:rPr>
          <w:spacing w:val="-10"/>
        </w:rPr>
      </w:pPr>
    </w:p>
    <w:p w14:paraId="436F31E1" w14:textId="3B786252" w:rsidR="00DF3662" w:rsidRDefault="00DF3662" w:rsidP="00EE3FE3">
      <w:pPr>
        <w:pStyle w:val="BodyText"/>
        <w:numPr>
          <w:ilvl w:val="1"/>
          <w:numId w:val="20"/>
        </w:numPr>
        <w:spacing w:line="312" w:lineRule="auto"/>
        <w:ind w:left="567" w:hanging="567"/>
        <w:rPr>
          <w:spacing w:val="-10"/>
        </w:rPr>
      </w:pPr>
      <w:r w:rsidRPr="009D597B">
        <w:rPr>
          <w:spacing w:val="-10"/>
        </w:rPr>
        <w:t xml:space="preserve">The strategic aims of this </w:t>
      </w:r>
      <w:r w:rsidR="00FB2FDF" w:rsidRPr="009D597B">
        <w:rPr>
          <w:spacing w:val="-10"/>
        </w:rPr>
        <w:t>guidance</w:t>
      </w:r>
      <w:r w:rsidRPr="009D597B">
        <w:rPr>
          <w:spacing w:val="-10"/>
        </w:rPr>
        <w:t xml:space="preserve"> are to:</w:t>
      </w:r>
    </w:p>
    <w:p w14:paraId="313AAEEF" w14:textId="77777777" w:rsidR="008E2584" w:rsidRPr="009D597B" w:rsidRDefault="008E2584" w:rsidP="008E2584">
      <w:pPr>
        <w:pStyle w:val="BodyText"/>
        <w:spacing w:line="312" w:lineRule="auto"/>
        <w:rPr>
          <w:spacing w:val="-10"/>
        </w:rPr>
      </w:pPr>
    </w:p>
    <w:p w14:paraId="1CAB0CAB" w14:textId="2254D70F" w:rsidR="00FB2FDF" w:rsidRPr="008F7275" w:rsidRDefault="00FB2FDF" w:rsidP="00EE3FE3">
      <w:pPr>
        <w:numPr>
          <w:ilvl w:val="2"/>
          <w:numId w:val="1"/>
        </w:numPr>
        <w:spacing w:after="120" w:line="276" w:lineRule="auto"/>
        <w:ind w:left="1560" w:right="99" w:hanging="448"/>
        <w:rPr>
          <w:spacing w:val="-3"/>
          <w:sz w:val="24"/>
        </w:rPr>
      </w:pPr>
      <w:r w:rsidRPr="007F5B3B">
        <w:rPr>
          <w:b/>
          <w:bCs/>
          <w:spacing w:val="-3"/>
          <w:sz w:val="24"/>
        </w:rPr>
        <w:t xml:space="preserve">maintain a high quality of care to support the best possible outcomes for </w:t>
      </w:r>
      <w:r w:rsidR="0071147C" w:rsidRPr="007F5B3B">
        <w:rPr>
          <w:b/>
          <w:bCs/>
          <w:spacing w:val="-3"/>
          <w:sz w:val="24"/>
        </w:rPr>
        <w:t>patients</w:t>
      </w:r>
      <w:r w:rsidR="00BF500C" w:rsidRPr="008F7275">
        <w:rPr>
          <w:spacing w:val="-3"/>
          <w:sz w:val="24"/>
        </w:rPr>
        <w:t xml:space="preserve"> with providers working collaboratively across a</w:t>
      </w:r>
      <w:r w:rsidR="00920C5B">
        <w:rPr>
          <w:spacing w:val="-3"/>
          <w:sz w:val="24"/>
        </w:rPr>
        <w:t>n I</w:t>
      </w:r>
      <w:r w:rsidR="00F7768C">
        <w:rPr>
          <w:spacing w:val="-3"/>
          <w:sz w:val="24"/>
        </w:rPr>
        <w:t xml:space="preserve">ntegrated </w:t>
      </w:r>
      <w:r w:rsidR="00920C5B">
        <w:rPr>
          <w:spacing w:val="-3"/>
          <w:sz w:val="24"/>
        </w:rPr>
        <w:t>C</w:t>
      </w:r>
      <w:r w:rsidR="00F7768C">
        <w:rPr>
          <w:spacing w:val="-3"/>
          <w:sz w:val="24"/>
        </w:rPr>
        <w:t xml:space="preserve">are </w:t>
      </w:r>
      <w:r w:rsidR="00920C5B">
        <w:rPr>
          <w:spacing w:val="-3"/>
          <w:sz w:val="24"/>
        </w:rPr>
        <w:t>S</w:t>
      </w:r>
      <w:r w:rsidR="00F7768C">
        <w:rPr>
          <w:spacing w:val="-3"/>
          <w:sz w:val="24"/>
        </w:rPr>
        <w:t>ystem</w:t>
      </w:r>
      <w:r w:rsidR="00920C5B">
        <w:rPr>
          <w:spacing w:val="-3"/>
          <w:sz w:val="24"/>
        </w:rPr>
        <w:t xml:space="preserve"> (</w:t>
      </w:r>
      <w:r w:rsidR="00F7768C">
        <w:rPr>
          <w:spacing w:val="-3"/>
          <w:sz w:val="24"/>
        </w:rPr>
        <w:t>ICS</w:t>
      </w:r>
      <w:r w:rsidR="00920C5B">
        <w:rPr>
          <w:spacing w:val="-3"/>
          <w:sz w:val="24"/>
        </w:rPr>
        <w:t>)</w:t>
      </w:r>
      <w:r w:rsidR="00BF500C" w:rsidRPr="008F7275">
        <w:rPr>
          <w:spacing w:val="-3"/>
          <w:sz w:val="24"/>
        </w:rPr>
        <w:t xml:space="preserve"> or region</w:t>
      </w:r>
      <w:r w:rsidR="00333B5C">
        <w:rPr>
          <w:spacing w:val="-3"/>
          <w:sz w:val="24"/>
        </w:rPr>
        <w:t>;</w:t>
      </w:r>
    </w:p>
    <w:p w14:paraId="590CF726" w14:textId="1C5C4F76" w:rsidR="00333B5C" w:rsidRPr="00DD417D" w:rsidRDefault="00333B5C" w:rsidP="00EE3FE3">
      <w:pPr>
        <w:numPr>
          <w:ilvl w:val="2"/>
          <w:numId w:val="1"/>
        </w:numPr>
        <w:spacing w:after="120" w:line="276" w:lineRule="auto"/>
        <w:ind w:left="1560" w:right="99" w:hanging="448"/>
        <w:rPr>
          <w:spacing w:val="-3"/>
          <w:sz w:val="24"/>
        </w:rPr>
      </w:pPr>
      <w:r w:rsidRPr="007F5B3B">
        <w:rPr>
          <w:b/>
          <w:bCs/>
          <w:spacing w:val="-3"/>
          <w:sz w:val="24"/>
        </w:rPr>
        <w:t xml:space="preserve">maintain </w:t>
      </w:r>
      <w:r w:rsidR="00C70926">
        <w:rPr>
          <w:b/>
          <w:bCs/>
          <w:spacing w:val="-3"/>
          <w:sz w:val="24"/>
        </w:rPr>
        <w:t xml:space="preserve">timely </w:t>
      </w:r>
      <w:r w:rsidRPr="007F5B3B">
        <w:rPr>
          <w:b/>
          <w:bCs/>
          <w:spacing w:val="-3"/>
          <w:sz w:val="24"/>
        </w:rPr>
        <w:t>access to Adult Critical Care for any patient that requires it</w:t>
      </w:r>
      <w:r w:rsidRPr="008F7275">
        <w:rPr>
          <w:spacing w:val="-3"/>
          <w:sz w:val="24"/>
        </w:rPr>
        <w:t xml:space="preserve"> and thereby, prevent avoidable mortality and morbidity</w:t>
      </w:r>
      <w:r>
        <w:rPr>
          <w:b/>
          <w:bCs/>
          <w:spacing w:val="-3"/>
          <w:sz w:val="24"/>
        </w:rPr>
        <w:t>;</w:t>
      </w:r>
    </w:p>
    <w:p w14:paraId="77C54348" w14:textId="77777777" w:rsidR="00333B5C" w:rsidRPr="008F7275" w:rsidRDefault="00333B5C" w:rsidP="00EE3FE3">
      <w:pPr>
        <w:numPr>
          <w:ilvl w:val="2"/>
          <w:numId w:val="1"/>
        </w:numPr>
        <w:spacing w:after="120" w:line="276" w:lineRule="auto"/>
        <w:ind w:left="1560" w:right="99" w:hanging="448"/>
        <w:rPr>
          <w:spacing w:val="-3"/>
          <w:sz w:val="24"/>
        </w:rPr>
      </w:pPr>
      <w:r w:rsidRPr="007F5B3B">
        <w:rPr>
          <w:b/>
          <w:bCs/>
          <w:spacing w:val="-3"/>
          <w:sz w:val="24"/>
        </w:rPr>
        <w:t>maximise capacity in the critical care system</w:t>
      </w:r>
      <w:r w:rsidRPr="008F7275">
        <w:rPr>
          <w:spacing w:val="-3"/>
          <w:sz w:val="24"/>
        </w:rPr>
        <w:t xml:space="preserve"> in a range of scenarios through a coordinated escalation and de-escalation approach across geographical footprints</w:t>
      </w:r>
      <w:r>
        <w:rPr>
          <w:spacing w:val="-3"/>
          <w:sz w:val="24"/>
        </w:rPr>
        <w:t>;</w:t>
      </w:r>
    </w:p>
    <w:p w14:paraId="733083AB" w14:textId="09972C21" w:rsidR="00333B5C" w:rsidRPr="008F7275" w:rsidRDefault="00333B5C" w:rsidP="00EE3FE3">
      <w:pPr>
        <w:numPr>
          <w:ilvl w:val="2"/>
          <w:numId w:val="1"/>
        </w:numPr>
        <w:spacing w:after="120" w:line="276" w:lineRule="auto"/>
        <w:ind w:left="1560" w:right="99" w:hanging="448"/>
        <w:rPr>
          <w:spacing w:val="-3"/>
          <w:sz w:val="24"/>
        </w:rPr>
      </w:pPr>
      <w:r w:rsidRPr="007F5B3B">
        <w:rPr>
          <w:b/>
          <w:bCs/>
          <w:spacing w:val="-3"/>
          <w:sz w:val="24"/>
        </w:rPr>
        <w:t xml:space="preserve">avoid the transfer of critically ill patients wherever possible </w:t>
      </w:r>
      <w:r>
        <w:rPr>
          <w:spacing w:val="-3"/>
          <w:sz w:val="24"/>
        </w:rPr>
        <w:t>by ensuring all options to increase capacity have been exhausted prior to the consideration of implementing capacity transfers*</w:t>
      </w:r>
      <w:r>
        <w:rPr>
          <w:rStyle w:val="FootnoteReference"/>
          <w:spacing w:val="-3"/>
          <w:sz w:val="24"/>
        </w:rPr>
        <w:footnoteReference w:id="3"/>
      </w:r>
    </w:p>
    <w:p w14:paraId="2DFF935B" w14:textId="0F1584B6" w:rsidR="00333B5C" w:rsidRDefault="002B03EB" w:rsidP="00EE3FE3">
      <w:pPr>
        <w:numPr>
          <w:ilvl w:val="2"/>
          <w:numId w:val="1"/>
        </w:numPr>
        <w:spacing w:after="120" w:line="276" w:lineRule="auto"/>
        <w:ind w:left="1560" w:right="99" w:hanging="448"/>
        <w:rPr>
          <w:spacing w:val="-3"/>
          <w:sz w:val="24"/>
        </w:rPr>
      </w:pPr>
      <w:r w:rsidRPr="007F5B3B">
        <w:rPr>
          <w:b/>
          <w:bCs/>
          <w:spacing w:val="-3"/>
          <w:sz w:val="24"/>
        </w:rPr>
        <w:t xml:space="preserve">ensure </w:t>
      </w:r>
      <w:r w:rsidR="00FB2FDF" w:rsidRPr="007F5B3B">
        <w:rPr>
          <w:b/>
          <w:bCs/>
          <w:spacing w:val="-3"/>
          <w:sz w:val="24"/>
        </w:rPr>
        <w:t>p</w:t>
      </w:r>
      <w:r w:rsidR="003A35D4" w:rsidRPr="007F5B3B">
        <w:rPr>
          <w:b/>
          <w:bCs/>
          <w:spacing w:val="-3"/>
          <w:sz w:val="24"/>
        </w:rPr>
        <w:t>rovision of critical care as close to home as possible</w:t>
      </w:r>
      <w:r w:rsidR="003A35D4" w:rsidRPr="008F7275">
        <w:rPr>
          <w:spacing w:val="-3"/>
          <w:sz w:val="24"/>
        </w:rPr>
        <w:t xml:space="preserve">, whilst maintaining standards of </w:t>
      </w:r>
      <w:r w:rsidR="0071147C" w:rsidRPr="008F7275">
        <w:rPr>
          <w:spacing w:val="-3"/>
          <w:sz w:val="24"/>
        </w:rPr>
        <w:t>care</w:t>
      </w:r>
      <w:r w:rsidR="00333B5C">
        <w:rPr>
          <w:spacing w:val="-3"/>
          <w:sz w:val="24"/>
        </w:rPr>
        <w:t>,</w:t>
      </w:r>
      <w:r w:rsidR="000C0532" w:rsidRPr="008F7275">
        <w:rPr>
          <w:spacing w:val="-3"/>
          <w:sz w:val="24"/>
        </w:rPr>
        <w:t xml:space="preserve"> including when the transfer of patients i</w:t>
      </w:r>
      <w:r w:rsidR="00FD2B74">
        <w:rPr>
          <w:spacing w:val="-3"/>
          <w:sz w:val="24"/>
        </w:rPr>
        <w:t>s</w:t>
      </w:r>
      <w:r w:rsidR="000C0532" w:rsidRPr="008F7275">
        <w:rPr>
          <w:spacing w:val="-3"/>
          <w:sz w:val="24"/>
        </w:rPr>
        <w:t xml:space="preserve"> necessary</w:t>
      </w:r>
      <w:r w:rsidR="00333B5C">
        <w:rPr>
          <w:spacing w:val="-3"/>
          <w:sz w:val="24"/>
        </w:rPr>
        <w:t>.</w:t>
      </w:r>
    </w:p>
    <w:p w14:paraId="242B322A" w14:textId="08E0B934" w:rsidR="006C0402" w:rsidRPr="00F6144C" w:rsidRDefault="006C0402" w:rsidP="00EE3FE3">
      <w:pPr>
        <w:numPr>
          <w:ilvl w:val="2"/>
          <w:numId w:val="1"/>
        </w:numPr>
        <w:spacing w:after="120" w:line="276" w:lineRule="auto"/>
        <w:ind w:left="1560" w:right="99" w:hanging="448"/>
        <w:rPr>
          <w:spacing w:val="-3"/>
          <w:sz w:val="24"/>
        </w:rPr>
      </w:pPr>
      <w:r w:rsidRPr="006C0402">
        <w:rPr>
          <w:b/>
          <w:bCs/>
          <w:spacing w:val="-3"/>
          <w:sz w:val="24"/>
        </w:rPr>
        <w:t>Ensure units within a Critical care network are never greater than 2 CRITCON scores apart</w:t>
      </w:r>
      <w:r w:rsidRPr="006C0402">
        <w:rPr>
          <w:spacing w:val="-3"/>
          <w:sz w:val="24"/>
        </w:rPr>
        <w:t>. This is the trigger to consider equalising pressure across the system</w:t>
      </w:r>
      <w:r>
        <w:rPr>
          <w:spacing w:val="-3"/>
          <w:sz w:val="24"/>
        </w:rPr>
        <w:t>.</w:t>
      </w:r>
    </w:p>
    <w:p w14:paraId="549A7CA6" w14:textId="77777777" w:rsidR="005D70B7" w:rsidRPr="00CF72EB" w:rsidRDefault="005D70B7" w:rsidP="00F81AC2">
      <w:pPr>
        <w:pStyle w:val="ListParagraph"/>
        <w:tabs>
          <w:tab w:val="left" w:pos="1379"/>
          <w:tab w:val="left" w:pos="1380"/>
        </w:tabs>
        <w:spacing w:before="92" w:line="244" w:lineRule="auto"/>
        <w:ind w:left="1828" w:right="99"/>
        <w:rPr>
          <w:color w:val="7030A0"/>
          <w:spacing w:val="-10"/>
          <w:sz w:val="24"/>
          <w:highlight w:val="yellow"/>
        </w:rPr>
      </w:pPr>
    </w:p>
    <w:p w14:paraId="3B660A45" w14:textId="5310428A" w:rsidR="00DF3662" w:rsidRDefault="00DF3662" w:rsidP="00EE3FE3">
      <w:pPr>
        <w:pStyle w:val="BodyText"/>
        <w:numPr>
          <w:ilvl w:val="0"/>
          <w:numId w:val="20"/>
        </w:numPr>
        <w:ind w:left="426" w:hanging="426"/>
        <w:rPr>
          <w:b/>
          <w:color w:val="006FC0"/>
          <w:sz w:val="29"/>
        </w:rPr>
      </w:pPr>
      <w:r w:rsidRPr="00750F2D">
        <w:rPr>
          <w:b/>
          <w:color w:val="006FC0"/>
          <w:sz w:val="29"/>
        </w:rPr>
        <w:t>Principles</w:t>
      </w:r>
    </w:p>
    <w:p w14:paraId="3C8A54D1" w14:textId="77777777" w:rsidR="005273FC" w:rsidRDefault="005273FC" w:rsidP="00F81AC2">
      <w:pPr>
        <w:tabs>
          <w:tab w:val="left" w:pos="1379"/>
          <w:tab w:val="left" w:pos="1380"/>
        </w:tabs>
        <w:spacing w:after="120"/>
        <w:ind w:left="962" w:right="99"/>
        <w:rPr>
          <w:b/>
          <w:color w:val="0070C0"/>
          <w:sz w:val="24"/>
          <w:szCs w:val="24"/>
        </w:rPr>
      </w:pPr>
    </w:p>
    <w:p w14:paraId="024E29FF" w14:textId="24E8C03B" w:rsidR="00934460" w:rsidRPr="00C82060" w:rsidRDefault="00914A9B" w:rsidP="00A90A38">
      <w:pPr>
        <w:tabs>
          <w:tab w:val="left" w:pos="1379"/>
          <w:tab w:val="left" w:pos="1380"/>
        </w:tabs>
        <w:spacing w:after="120"/>
        <w:ind w:right="99"/>
        <w:rPr>
          <w:b/>
          <w:color w:val="0070C0"/>
          <w:sz w:val="24"/>
          <w:szCs w:val="24"/>
        </w:rPr>
      </w:pPr>
      <w:r w:rsidRPr="00C82060">
        <w:rPr>
          <w:b/>
          <w:color w:val="0070C0"/>
          <w:sz w:val="24"/>
          <w:szCs w:val="24"/>
        </w:rPr>
        <w:t>Core Principles</w:t>
      </w:r>
    </w:p>
    <w:p w14:paraId="541ECA3A" w14:textId="51465C07" w:rsidR="00DF3662" w:rsidRDefault="002B2226" w:rsidP="00EE3FE3">
      <w:pPr>
        <w:pStyle w:val="BodyText"/>
        <w:numPr>
          <w:ilvl w:val="1"/>
          <w:numId w:val="20"/>
        </w:numPr>
        <w:spacing w:line="312" w:lineRule="auto"/>
        <w:ind w:left="567" w:hanging="567"/>
        <w:rPr>
          <w:spacing w:val="-10"/>
        </w:rPr>
      </w:pPr>
      <w:r w:rsidRPr="009D597B">
        <w:rPr>
          <w:spacing w:val="-10"/>
        </w:rPr>
        <w:t xml:space="preserve">The following </w:t>
      </w:r>
      <w:r w:rsidR="00006301" w:rsidRPr="009D597B">
        <w:rPr>
          <w:spacing w:val="-10"/>
        </w:rPr>
        <w:t xml:space="preserve">core </w:t>
      </w:r>
      <w:r w:rsidRPr="009D597B">
        <w:rPr>
          <w:spacing w:val="-10"/>
        </w:rPr>
        <w:t xml:space="preserve">principles should guide system responses when </w:t>
      </w:r>
      <w:r w:rsidR="00DF3662" w:rsidRPr="009D597B">
        <w:rPr>
          <w:spacing w:val="-10"/>
        </w:rPr>
        <w:t xml:space="preserve">managing </w:t>
      </w:r>
      <w:r w:rsidR="00B9687D" w:rsidRPr="009D597B">
        <w:rPr>
          <w:spacing w:val="-10"/>
        </w:rPr>
        <w:t xml:space="preserve">very high </w:t>
      </w:r>
      <w:r w:rsidR="00130473" w:rsidRPr="009D597B">
        <w:rPr>
          <w:spacing w:val="-10"/>
        </w:rPr>
        <w:t>local</w:t>
      </w:r>
      <w:r w:rsidR="00DF3662" w:rsidRPr="009D597B">
        <w:rPr>
          <w:spacing w:val="-10"/>
        </w:rPr>
        <w:t xml:space="preserve"> surge and escalation pressures for Adult Critical Care Services</w:t>
      </w:r>
      <w:r w:rsidR="00006301" w:rsidRPr="009D597B">
        <w:rPr>
          <w:spacing w:val="-10"/>
        </w:rPr>
        <w:t>:</w:t>
      </w:r>
      <w:r w:rsidR="00DF3662" w:rsidRPr="009D597B">
        <w:rPr>
          <w:spacing w:val="-10"/>
        </w:rPr>
        <w:t xml:space="preserve"> </w:t>
      </w:r>
    </w:p>
    <w:p w14:paraId="6909B5C7" w14:textId="77777777" w:rsidR="00934460" w:rsidRPr="009D597B" w:rsidRDefault="00934460" w:rsidP="00934460">
      <w:pPr>
        <w:pStyle w:val="BodyText"/>
        <w:spacing w:line="312" w:lineRule="auto"/>
        <w:ind w:left="567"/>
        <w:rPr>
          <w:spacing w:val="-10"/>
        </w:rPr>
      </w:pPr>
    </w:p>
    <w:p w14:paraId="3C40EAA9" w14:textId="02C8D8A0" w:rsidR="00DF3662" w:rsidRPr="008F7275" w:rsidRDefault="00DF3662" w:rsidP="00EE3FE3">
      <w:pPr>
        <w:numPr>
          <w:ilvl w:val="2"/>
          <w:numId w:val="1"/>
        </w:numPr>
        <w:spacing w:after="120" w:line="312" w:lineRule="auto"/>
        <w:ind w:left="993" w:right="96" w:hanging="448"/>
        <w:rPr>
          <w:spacing w:val="-3"/>
          <w:sz w:val="24"/>
        </w:rPr>
      </w:pPr>
      <w:r w:rsidRPr="008F7275">
        <w:rPr>
          <w:spacing w:val="-3"/>
          <w:sz w:val="24"/>
        </w:rPr>
        <w:t xml:space="preserve">the stepped increase in capacity in response to </w:t>
      </w:r>
      <w:r w:rsidR="0071147C" w:rsidRPr="008F7275">
        <w:rPr>
          <w:spacing w:val="-3"/>
          <w:sz w:val="24"/>
        </w:rPr>
        <w:t>demand</w:t>
      </w:r>
      <w:r w:rsidR="00B40CCD" w:rsidRPr="008F7275">
        <w:rPr>
          <w:spacing w:val="-3"/>
          <w:sz w:val="24"/>
        </w:rPr>
        <w:t xml:space="preserve"> </w:t>
      </w:r>
      <w:r w:rsidR="002B2226">
        <w:rPr>
          <w:spacing w:val="-3"/>
          <w:sz w:val="24"/>
        </w:rPr>
        <w:t xml:space="preserve">must be fully aligned </w:t>
      </w:r>
      <w:r w:rsidR="00B40CCD" w:rsidRPr="008F7275">
        <w:rPr>
          <w:spacing w:val="-3"/>
          <w:sz w:val="24"/>
        </w:rPr>
        <w:t xml:space="preserve">with </w:t>
      </w:r>
      <w:r w:rsidR="00314704">
        <w:rPr>
          <w:spacing w:val="-3"/>
          <w:sz w:val="24"/>
        </w:rPr>
        <w:t xml:space="preserve">Regional </w:t>
      </w:r>
      <w:r w:rsidR="008103A3">
        <w:rPr>
          <w:spacing w:val="-3"/>
          <w:sz w:val="24"/>
        </w:rPr>
        <w:t>E</w:t>
      </w:r>
      <w:r w:rsidR="00314704">
        <w:rPr>
          <w:spacing w:val="-3"/>
          <w:sz w:val="24"/>
        </w:rPr>
        <w:t xml:space="preserve">mergency </w:t>
      </w:r>
      <w:r w:rsidR="008103A3">
        <w:rPr>
          <w:spacing w:val="-3"/>
          <w:sz w:val="24"/>
        </w:rPr>
        <w:t>P</w:t>
      </w:r>
      <w:r w:rsidR="00314704">
        <w:rPr>
          <w:spacing w:val="-3"/>
          <w:sz w:val="24"/>
        </w:rPr>
        <w:t xml:space="preserve">reparedness </w:t>
      </w:r>
      <w:r w:rsidR="008103A3">
        <w:rPr>
          <w:spacing w:val="-3"/>
          <w:sz w:val="24"/>
        </w:rPr>
        <w:t>Resilience and R</w:t>
      </w:r>
      <w:r w:rsidR="00314704">
        <w:rPr>
          <w:spacing w:val="-3"/>
          <w:sz w:val="24"/>
        </w:rPr>
        <w:t>esponse (</w:t>
      </w:r>
      <w:r w:rsidR="00B40CCD" w:rsidRPr="008F7275">
        <w:rPr>
          <w:spacing w:val="-3"/>
          <w:sz w:val="24"/>
        </w:rPr>
        <w:t>EPRR</w:t>
      </w:r>
      <w:r w:rsidR="00314704">
        <w:rPr>
          <w:spacing w:val="-3"/>
          <w:sz w:val="24"/>
        </w:rPr>
        <w:t>)</w:t>
      </w:r>
      <w:r w:rsidR="00B36D7B">
        <w:rPr>
          <w:spacing w:val="-3"/>
          <w:sz w:val="24"/>
        </w:rPr>
        <w:t xml:space="preserve"> </w:t>
      </w:r>
      <w:hyperlink r:id="rId15" w:history="1">
        <w:r w:rsidR="00B40CCD" w:rsidRPr="007B1E0D">
          <w:rPr>
            <w:rStyle w:val="Hyperlink"/>
            <w:spacing w:val="-3"/>
            <w:sz w:val="24"/>
          </w:rPr>
          <w:t>principles</w:t>
        </w:r>
      </w:hyperlink>
      <w:r w:rsidR="006E2B00">
        <w:rPr>
          <w:spacing w:val="-3"/>
          <w:sz w:val="24"/>
        </w:rPr>
        <w:t>;</w:t>
      </w:r>
    </w:p>
    <w:p w14:paraId="21773C33" w14:textId="5BBDDDB1" w:rsidR="00DF3662" w:rsidRPr="008F7275" w:rsidRDefault="00DF3662" w:rsidP="00EE3FE3">
      <w:pPr>
        <w:numPr>
          <w:ilvl w:val="2"/>
          <w:numId w:val="1"/>
        </w:numPr>
        <w:spacing w:after="120" w:line="312" w:lineRule="auto"/>
        <w:ind w:left="993" w:right="96" w:hanging="448"/>
        <w:rPr>
          <w:spacing w:val="-3"/>
          <w:sz w:val="24"/>
        </w:rPr>
      </w:pPr>
      <w:r w:rsidRPr="008F7275">
        <w:rPr>
          <w:spacing w:val="-3"/>
          <w:sz w:val="24"/>
        </w:rPr>
        <w:t xml:space="preserve"> </w:t>
      </w:r>
      <w:r w:rsidR="00BB41DF" w:rsidRPr="008F7275">
        <w:rPr>
          <w:spacing w:val="-3"/>
          <w:sz w:val="24"/>
        </w:rPr>
        <w:t>“</w:t>
      </w:r>
      <w:r w:rsidR="007627D4">
        <w:rPr>
          <w:spacing w:val="-3"/>
          <w:sz w:val="24"/>
        </w:rPr>
        <w:t>N</w:t>
      </w:r>
      <w:r w:rsidR="00BB41DF" w:rsidRPr="008F7275">
        <w:rPr>
          <w:spacing w:val="-3"/>
          <w:sz w:val="24"/>
        </w:rPr>
        <w:t xml:space="preserve">ormal” </w:t>
      </w:r>
      <w:r w:rsidRPr="008F7275">
        <w:rPr>
          <w:spacing w:val="-3"/>
          <w:sz w:val="24"/>
        </w:rPr>
        <w:t>clinical pathway</w:t>
      </w:r>
      <w:r w:rsidR="00656F7A" w:rsidRPr="008F7275">
        <w:rPr>
          <w:spacing w:val="-3"/>
          <w:sz w:val="24"/>
        </w:rPr>
        <w:t>s</w:t>
      </w:r>
      <w:r w:rsidRPr="008F7275">
        <w:rPr>
          <w:spacing w:val="-3"/>
          <w:sz w:val="24"/>
        </w:rPr>
        <w:t xml:space="preserve"> for critically ill patients </w:t>
      </w:r>
      <w:r w:rsidR="00006301">
        <w:rPr>
          <w:spacing w:val="-3"/>
          <w:sz w:val="24"/>
        </w:rPr>
        <w:t xml:space="preserve">should </w:t>
      </w:r>
      <w:r w:rsidR="002B2226">
        <w:rPr>
          <w:spacing w:val="-3"/>
          <w:sz w:val="24"/>
        </w:rPr>
        <w:t xml:space="preserve">be preserved </w:t>
      </w:r>
      <w:r w:rsidRPr="008F7275">
        <w:rPr>
          <w:spacing w:val="-3"/>
          <w:sz w:val="24"/>
        </w:rPr>
        <w:t xml:space="preserve">for as long as </w:t>
      </w:r>
      <w:r w:rsidR="0071147C" w:rsidRPr="008F7275">
        <w:rPr>
          <w:spacing w:val="-3"/>
          <w:sz w:val="24"/>
        </w:rPr>
        <w:t>possibl</w:t>
      </w:r>
      <w:r w:rsidR="009364D7" w:rsidRPr="008F7275">
        <w:rPr>
          <w:spacing w:val="-3"/>
          <w:sz w:val="24"/>
        </w:rPr>
        <w:t>e</w:t>
      </w:r>
      <w:r w:rsidR="00C12F28">
        <w:rPr>
          <w:spacing w:val="-3"/>
          <w:sz w:val="24"/>
        </w:rPr>
        <w:t>.</w:t>
      </w:r>
    </w:p>
    <w:p w14:paraId="1FF04FC2" w14:textId="6A81FD3A" w:rsidR="00284545" w:rsidRPr="00F860A7" w:rsidRDefault="00DF3662" w:rsidP="00EE3FE3">
      <w:pPr>
        <w:numPr>
          <w:ilvl w:val="2"/>
          <w:numId w:val="1"/>
        </w:numPr>
        <w:spacing w:after="120" w:line="312" w:lineRule="auto"/>
        <w:ind w:left="993" w:right="96" w:hanging="448"/>
        <w:rPr>
          <w:spacing w:val="-3"/>
          <w:sz w:val="24"/>
        </w:rPr>
      </w:pPr>
      <w:r w:rsidRPr="008F7275">
        <w:rPr>
          <w:spacing w:val="-3"/>
          <w:sz w:val="24"/>
        </w:rPr>
        <w:lastRenderedPageBreak/>
        <w:t xml:space="preserve">the </w:t>
      </w:r>
      <w:r w:rsidR="002B2226">
        <w:rPr>
          <w:spacing w:val="-3"/>
          <w:sz w:val="24"/>
        </w:rPr>
        <w:t xml:space="preserve">provision of </w:t>
      </w:r>
      <w:r w:rsidRPr="008F7275">
        <w:rPr>
          <w:spacing w:val="-3"/>
          <w:sz w:val="24"/>
        </w:rPr>
        <w:t>emergency, general and specialis</w:t>
      </w:r>
      <w:r w:rsidR="00FE68C1" w:rsidRPr="008F7275">
        <w:rPr>
          <w:spacing w:val="-3"/>
          <w:sz w:val="24"/>
        </w:rPr>
        <w:t>ed</w:t>
      </w:r>
      <w:r w:rsidRPr="008F7275">
        <w:rPr>
          <w:spacing w:val="-3"/>
          <w:sz w:val="24"/>
        </w:rPr>
        <w:t xml:space="preserve"> services</w:t>
      </w:r>
      <w:r w:rsidR="00006301">
        <w:rPr>
          <w:spacing w:val="-3"/>
          <w:sz w:val="24"/>
        </w:rPr>
        <w:t xml:space="preserve"> should</w:t>
      </w:r>
      <w:r w:rsidR="002B2226">
        <w:rPr>
          <w:spacing w:val="-3"/>
          <w:sz w:val="24"/>
        </w:rPr>
        <w:t xml:space="preserve"> be preserved </w:t>
      </w:r>
      <w:r w:rsidRPr="008F7275">
        <w:rPr>
          <w:spacing w:val="-3"/>
          <w:sz w:val="24"/>
        </w:rPr>
        <w:t xml:space="preserve">for </w:t>
      </w:r>
      <w:r w:rsidRPr="00F860A7">
        <w:rPr>
          <w:spacing w:val="-3"/>
          <w:sz w:val="24"/>
        </w:rPr>
        <w:t xml:space="preserve">as long as </w:t>
      </w:r>
      <w:r w:rsidR="0071147C" w:rsidRPr="00F860A7">
        <w:rPr>
          <w:spacing w:val="-3"/>
          <w:sz w:val="24"/>
        </w:rPr>
        <w:t>possible</w:t>
      </w:r>
      <w:r w:rsidR="00C12F28">
        <w:rPr>
          <w:spacing w:val="-3"/>
          <w:sz w:val="24"/>
        </w:rPr>
        <w:t>.</w:t>
      </w:r>
    </w:p>
    <w:p w14:paraId="51962E2C" w14:textId="03009929" w:rsidR="00783DE2" w:rsidRDefault="00DF3662" w:rsidP="00EE3FE3">
      <w:pPr>
        <w:numPr>
          <w:ilvl w:val="2"/>
          <w:numId w:val="1"/>
        </w:numPr>
        <w:spacing w:after="120" w:line="312" w:lineRule="auto"/>
        <w:ind w:left="993" w:right="96" w:hanging="448"/>
        <w:rPr>
          <w:spacing w:val="-3"/>
          <w:sz w:val="24"/>
        </w:rPr>
      </w:pPr>
      <w:r w:rsidRPr="00692F7C">
        <w:rPr>
          <w:spacing w:val="-3"/>
          <w:sz w:val="24"/>
        </w:rPr>
        <w:t xml:space="preserve">equity of access </w:t>
      </w:r>
      <w:r w:rsidR="00783DE2">
        <w:rPr>
          <w:spacing w:val="-3"/>
          <w:sz w:val="24"/>
        </w:rPr>
        <w:t>to</w:t>
      </w:r>
      <w:r w:rsidRPr="00692F7C">
        <w:rPr>
          <w:spacing w:val="-3"/>
          <w:sz w:val="24"/>
        </w:rPr>
        <w:t xml:space="preserve"> treatment </w:t>
      </w:r>
      <w:r w:rsidR="008D3D1B">
        <w:rPr>
          <w:spacing w:val="-3"/>
          <w:sz w:val="24"/>
        </w:rPr>
        <w:t>should</w:t>
      </w:r>
      <w:r w:rsidRPr="00692F7C">
        <w:rPr>
          <w:spacing w:val="-3"/>
          <w:sz w:val="24"/>
        </w:rPr>
        <w:t xml:space="preserve"> be maintained</w:t>
      </w:r>
      <w:r w:rsidR="00C12F28">
        <w:rPr>
          <w:spacing w:val="-3"/>
          <w:sz w:val="24"/>
        </w:rPr>
        <w:t>.</w:t>
      </w:r>
    </w:p>
    <w:p w14:paraId="0E2DA2B5" w14:textId="4E0EEE5F" w:rsidR="001B2B54" w:rsidRPr="00692F7C" w:rsidRDefault="00493C04" w:rsidP="00EE3FE3">
      <w:pPr>
        <w:numPr>
          <w:ilvl w:val="2"/>
          <w:numId w:val="1"/>
        </w:numPr>
        <w:spacing w:after="120" w:line="312" w:lineRule="auto"/>
        <w:ind w:left="993" w:right="96" w:hanging="448"/>
        <w:rPr>
          <w:spacing w:val="-3"/>
          <w:sz w:val="24"/>
        </w:rPr>
      </w:pPr>
      <w:r w:rsidRPr="00692F7C">
        <w:rPr>
          <w:spacing w:val="-3"/>
          <w:sz w:val="24"/>
        </w:rPr>
        <w:t>nationally recognised professional nursing and medical staffing ratios</w:t>
      </w:r>
      <w:r w:rsidR="002B2226">
        <w:rPr>
          <w:spacing w:val="-3"/>
          <w:sz w:val="24"/>
        </w:rPr>
        <w:t xml:space="preserve"> should be maintained wherever possible,</w:t>
      </w:r>
      <w:r w:rsidRPr="00692F7C">
        <w:rPr>
          <w:spacing w:val="-3"/>
          <w:sz w:val="24"/>
        </w:rPr>
        <w:t xml:space="preserve"> in line with the </w:t>
      </w:r>
      <w:hyperlink r:id="rId16" w:history="1">
        <w:r w:rsidRPr="00692F7C">
          <w:rPr>
            <w:spacing w:val="-3"/>
            <w:sz w:val="24"/>
          </w:rPr>
          <w:t>Adult Critical Care Specifications</w:t>
        </w:r>
      </w:hyperlink>
      <w:r w:rsidR="00C12F28">
        <w:rPr>
          <w:spacing w:val="-3"/>
          <w:sz w:val="24"/>
        </w:rPr>
        <w:t>.</w:t>
      </w:r>
    </w:p>
    <w:p w14:paraId="4E5A2389" w14:textId="326D9C10" w:rsidR="00914A9B" w:rsidRDefault="00006301" w:rsidP="00EE3FE3">
      <w:pPr>
        <w:numPr>
          <w:ilvl w:val="2"/>
          <w:numId w:val="1"/>
        </w:numPr>
        <w:spacing w:after="120" w:line="312" w:lineRule="auto"/>
        <w:ind w:left="993" w:right="96" w:hanging="448"/>
        <w:rPr>
          <w:spacing w:val="-3"/>
          <w:sz w:val="24"/>
        </w:rPr>
      </w:pPr>
      <w:r>
        <w:rPr>
          <w:spacing w:val="-3"/>
          <w:sz w:val="24"/>
        </w:rPr>
        <w:t>a</w:t>
      </w:r>
      <w:r w:rsidR="001B2B54" w:rsidRPr="008F7275">
        <w:rPr>
          <w:spacing w:val="-3"/>
          <w:sz w:val="24"/>
        </w:rPr>
        <w:t xml:space="preserve"> </w:t>
      </w:r>
      <w:r>
        <w:rPr>
          <w:spacing w:val="-3"/>
          <w:sz w:val="24"/>
        </w:rPr>
        <w:t>‘</w:t>
      </w:r>
      <w:r w:rsidR="001B2B54" w:rsidRPr="008F7275">
        <w:rPr>
          <w:spacing w:val="-3"/>
          <w:sz w:val="24"/>
        </w:rPr>
        <w:t>system</w:t>
      </w:r>
      <w:r w:rsidR="00711551">
        <w:rPr>
          <w:spacing w:val="-3"/>
          <w:sz w:val="24"/>
        </w:rPr>
        <w:t xml:space="preserve"> first</w:t>
      </w:r>
      <w:r>
        <w:rPr>
          <w:spacing w:val="-3"/>
          <w:sz w:val="24"/>
        </w:rPr>
        <w:t>’</w:t>
      </w:r>
      <w:r w:rsidR="001B2B54" w:rsidRPr="008F7275">
        <w:rPr>
          <w:spacing w:val="-3"/>
          <w:sz w:val="24"/>
        </w:rPr>
        <w:t xml:space="preserve"> approach to the management of Adult Critical Care </w:t>
      </w:r>
      <w:r>
        <w:rPr>
          <w:spacing w:val="-3"/>
          <w:sz w:val="24"/>
        </w:rPr>
        <w:t xml:space="preserve">must be adopted to </w:t>
      </w:r>
      <w:r w:rsidR="001B2B54" w:rsidRPr="008F7275">
        <w:rPr>
          <w:spacing w:val="-3"/>
          <w:sz w:val="24"/>
        </w:rPr>
        <w:t>ensure that capacity is co-ordinated across the system to meet demand</w:t>
      </w:r>
      <w:r w:rsidR="00FE68C1" w:rsidRPr="008F7275">
        <w:rPr>
          <w:spacing w:val="-3"/>
          <w:sz w:val="24"/>
        </w:rPr>
        <w:t>.</w:t>
      </w:r>
    </w:p>
    <w:p w14:paraId="2279747B" w14:textId="77777777" w:rsidR="006E2B00" w:rsidRDefault="006E2B00" w:rsidP="00F81AC2">
      <w:pPr>
        <w:tabs>
          <w:tab w:val="left" w:pos="1827"/>
          <w:tab w:val="left" w:pos="1828"/>
        </w:tabs>
        <w:spacing w:after="120" w:line="276" w:lineRule="auto"/>
        <w:ind w:left="1826" w:right="99"/>
        <w:rPr>
          <w:spacing w:val="-3"/>
          <w:sz w:val="24"/>
        </w:rPr>
      </w:pPr>
    </w:p>
    <w:p w14:paraId="113B9258" w14:textId="5ABC0F64" w:rsidR="00914A9B" w:rsidRDefault="00914A9B" w:rsidP="00401C89">
      <w:pPr>
        <w:tabs>
          <w:tab w:val="left" w:pos="1380"/>
        </w:tabs>
        <w:spacing w:after="120"/>
        <w:ind w:right="99"/>
        <w:rPr>
          <w:b/>
          <w:color w:val="0070C0"/>
          <w:sz w:val="24"/>
          <w:szCs w:val="24"/>
        </w:rPr>
      </w:pPr>
      <w:r w:rsidRPr="00C82060">
        <w:rPr>
          <w:b/>
          <w:color w:val="0070C0"/>
          <w:sz w:val="24"/>
          <w:szCs w:val="24"/>
        </w:rPr>
        <w:t>Inte</w:t>
      </w:r>
      <w:r w:rsidR="001A3C86" w:rsidRPr="00C82060">
        <w:rPr>
          <w:b/>
          <w:color w:val="0070C0"/>
          <w:sz w:val="24"/>
          <w:szCs w:val="24"/>
        </w:rPr>
        <w:t xml:space="preserve">r-hospital </w:t>
      </w:r>
      <w:r w:rsidR="00A60102">
        <w:rPr>
          <w:b/>
          <w:color w:val="0070C0"/>
          <w:sz w:val="24"/>
          <w:szCs w:val="24"/>
        </w:rPr>
        <w:t>M</w:t>
      </w:r>
      <w:r w:rsidR="001A3C86" w:rsidRPr="00C82060">
        <w:rPr>
          <w:b/>
          <w:color w:val="0070C0"/>
          <w:sz w:val="24"/>
          <w:szCs w:val="24"/>
        </w:rPr>
        <w:t xml:space="preserve">utual Aid </w:t>
      </w:r>
    </w:p>
    <w:p w14:paraId="3B5EBAFE" w14:textId="77777777" w:rsidR="00401C89" w:rsidRPr="00C82060" w:rsidRDefault="00401C89" w:rsidP="00401C89">
      <w:pPr>
        <w:tabs>
          <w:tab w:val="left" w:pos="1380"/>
        </w:tabs>
        <w:spacing w:after="120"/>
        <w:ind w:right="99"/>
        <w:rPr>
          <w:b/>
          <w:color w:val="0070C0"/>
          <w:sz w:val="24"/>
          <w:szCs w:val="24"/>
        </w:rPr>
      </w:pPr>
    </w:p>
    <w:p w14:paraId="42788098" w14:textId="77777777" w:rsidR="0096655C" w:rsidRDefault="0038500A" w:rsidP="00EE3FE3">
      <w:pPr>
        <w:pStyle w:val="BodyText"/>
        <w:numPr>
          <w:ilvl w:val="1"/>
          <w:numId w:val="20"/>
        </w:numPr>
        <w:spacing w:line="312" w:lineRule="auto"/>
        <w:ind w:left="567" w:hanging="567"/>
        <w:rPr>
          <w:spacing w:val="-10"/>
        </w:rPr>
      </w:pPr>
      <w:r>
        <w:rPr>
          <w:spacing w:val="-10"/>
        </w:rPr>
        <w:t xml:space="preserve">When there is persistent demand for critical care beyond usual capacity (i.e. surge conditions) </w:t>
      </w:r>
      <w:r w:rsidR="00DF3662" w:rsidRPr="001B2B54">
        <w:rPr>
          <w:spacing w:val="-10"/>
        </w:rPr>
        <w:t xml:space="preserve">inter-hospital </w:t>
      </w:r>
      <w:r w:rsidR="00707190" w:rsidRPr="0031365D">
        <w:rPr>
          <w:spacing w:val="-10"/>
        </w:rPr>
        <w:t xml:space="preserve">mutual </w:t>
      </w:r>
      <w:r w:rsidR="0031365D" w:rsidRPr="0031365D">
        <w:rPr>
          <w:spacing w:val="-10"/>
        </w:rPr>
        <w:t>aid</w:t>
      </w:r>
      <w:r w:rsidRPr="00401C89">
        <w:rPr>
          <w:spacing w:val="-10"/>
          <w:vertAlign w:val="superscript"/>
        </w:rPr>
        <w:footnoteReference w:id="4"/>
      </w:r>
      <w:r w:rsidR="00843C6D" w:rsidRPr="00A90A38">
        <w:rPr>
          <w:spacing w:val="-10"/>
        </w:rPr>
        <w:t xml:space="preserve"> </w:t>
      </w:r>
      <w:r w:rsidR="000D7D1E" w:rsidRPr="001B2B54">
        <w:rPr>
          <w:spacing w:val="-10"/>
        </w:rPr>
        <w:t>may be required</w:t>
      </w:r>
      <w:r w:rsidR="00DF3662" w:rsidRPr="001B2B54">
        <w:rPr>
          <w:spacing w:val="-10"/>
        </w:rPr>
        <w:t xml:space="preserve"> as necessary as a mechanism to manage </w:t>
      </w:r>
      <w:r w:rsidR="00D53AD8">
        <w:rPr>
          <w:spacing w:val="-10"/>
        </w:rPr>
        <w:t xml:space="preserve">supply </w:t>
      </w:r>
      <w:r w:rsidR="006E2B00">
        <w:rPr>
          <w:spacing w:val="-10"/>
        </w:rPr>
        <w:t>a</w:t>
      </w:r>
      <w:r w:rsidR="00D53AD8">
        <w:rPr>
          <w:spacing w:val="-10"/>
        </w:rPr>
        <w:t xml:space="preserve">nd </w:t>
      </w:r>
      <w:r w:rsidR="00DF3662" w:rsidRPr="001B2B54">
        <w:rPr>
          <w:spacing w:val="-10"/>
        </w:rPr>
        <w:t>demand across a</w:t>
      </w:r>
      <w:r w:rsidR="00284545" w:rsidRPr="001B2B54">
        <w:rPr>
          <w:spacing w:val="-10"/>
        </w:rPr>
        <w:t>n ICS</w:t>
      </w:r>
      <w:r w:rsidR="00B40CCD" w:rsidRPr="001B2B54">
        <w:rPr>
          <w:spacing w:val="-10"/>
        </w:rPr>
        <w:t>/</w:t>
      </w:r>
      <w:r w:rsidR="00284545" w:rsidRPr="001B2B54">
        <w:rPr>
          <w:spacing w:val="-10"/>
        </w:rPr>
        <w:t xml:space="preserve"> Regional</w:t>
      </w:r>
      <w:r w:rsidR="00B40CCD" w:rsidRPr="001B2B54">
        <w:rPr>
          <w:spacing w:val="-10"/>
        </w:rPr>
        <w:t>/inter-regional</w:t>
      </w:r>
      <w:r w:rsidR="00284545" w:rsidRPr="001B2B54">
        <w:rPr>
          <w:spacing w:val="-10"/>
        </w:rPr>
        <w:t xml:space="preserve"> footprint</w:t>
      </w:r>
      <w:r w:rsidR="000D7D1E" w:rsidRPr="001B2B54">
        <w:rPr>
          <w:spacing w:val="-10"/>
        </w:rPr>
        <w:t xml:space="preserve">. </w:t>
      </w:r>
    </w:p>
    <w:p w14:paraId="617BD775" w14:textId="77777777" w:rsidR="00A90A38" w:rsidRDefault="00A90A38" w:rsidP="00A90A38">
      <w:pPr>
        <w:pStyle w:val="BodyText"/>
        <w:spacing w:line="312" w:lineRule="auto"/>
        <w:ind w:left="567"/>
        <w:rPr>
          <w:spacing w:val="-10"/>
        </w:rPr>
      </w:pPr>
    </w:p>
    <w:p w14:paraId="1CE94F8C" w14:textId="62979A44" w:rsidR="00A90A38" w:rsidRPr="007E7D70" w:rsidRDefault="0096655C" w:rsidP="00EE3FE3">
      <w:pPr>
        <w:pStyle w:val="BodyText"/>
        <w:numPr>
          <w:ilvl w:val="1"/>
          <w:numId w:val="20"/>
        </w:numPr>
        <w:spacing w:line="312" w:lineRule="auto"/>
        <w:ind w:left="567" w:hanging="567"/>
        <w:rPr>
          <w:spacing w:val="-10"/>
        </w:rPr>
      </w:pPr>
      <w:r w:rsidRPr="00636245">
        <w:rPr>
          <w:spacing w:val="-10"/>
        </w:rPr>
        <w:t xml:space="preserve">A unit may require decompression for </w:t>
      </w:r>
      <w:r w:rsidR="00631591" w:rsidRPr="00636245">
        <w:rPr>
          <w:spacing w:val="-10"/>
        </w:rPr>
        <w:t>several</w:t>
      </w:r>
      <w:r w:rsidR="00721F6D">
        <w:rPr>
          <w:spacing w:val="-10"/>
        </w:rPr>
        <w:t xml:space="preserve"> </w:t>
      </w:r>
      <w:r w:rsidRPr="00636245">
        <w:rPr>
          <w:spacing w:val="-10"/>
        </w:rPr>
        <w:t xml:space="preserve">reasons, this includes the maintenance of safe staffing ratios, inadequate capacity to accept emergency admissions and on rare occasions the need to undertake life limiting/lifesaving treatment of another patient. </w:t>
      </w:r>
    </w:p>
    <w:p w14:paraId="58CBC8F5" w14:textId="77777777" w:rsidR="00A90A38" w:rsidRPr="00636245" w:rsidRDefault="00A90A38" w:rsidP="00A90A38">
      <w:pPr>
        <w:pStyle w:val="BodyText"/>
        <w:spacing w:line="312" w:lineRule="auto"/>
        <w:ind w:left="567"/>
        <w:rPr>
          <w:spacing w:val="-10"/>
        </w:rPr>
      </w:pPr>
    </w:p>
    <w:p w14:paraId="7C4AA72D" w14:textId="7B257EC4" w:rsidR="00D30C56" w:rsidRDefault="00D30C56" w:rsidP="00EE3FE3">
      <w:pPr>
        <w:pStyle w:val="BodyText"/>
        <w:numPr>
          <w:ilvl w:val="1"/>
          <w:numId w:val="20"/>
        </w:numPr>
        <w:spacing w:line="312" w:lineRule="auto"/>
        <w:ind w:left="567" w:hanging="567"/>
        <w:rPr>
          <w:spacing w:val="-10"/>
        </w:rPr>
      </w:pPr>
      <w:r w:rsidRPr="009D597B">
        <w:rPr>
          <w:spacing w:val="-10"/>
        </w:rPr>
        <w:t>Inter-hospital transfers may be considered in the f</w:t>
      </w:r>
      <w:r w:rsidR="00D53AD8" w:rsidRPr="009D597B">
        <w:rPr>
          <w:spacing w:val="-10"/>
        </w:rPr>
        <w:t xml:space="preserve">ollowing </w:t>
      </w:r>
      <w:r w:rsidRPr="009D597B">
        <w:rPr>
          <w:spacing w:val="-10"/>
        </w:rPr>
        <w:t>categories:</w:t>
      </w:r>
    </w:p>
    <w:p w14:paraId="5E68FB56" w14:textId="77777777" w:rsidR="00A90A38" w:rsidRPr="009D597B" w:rsidRDefault="00A90A38" w:rsidP="00A90A38">
      <w:pPr>
        <w:pStyle w:val="BodyText"/>
        <w:spacing w:line="312" w:lineRule="auto"/>
        <w:ind w:left="567"/>
        <w:rPr>
          <w:spacing w:val="-10"/>
        </w:rPr>
      </w:pPr>
    </w:p>
    <w:p w14:paraId="7856EA9B" w14:textId="174A2613" w:rsidR="00FA7132" w:rsidRPr="00DD417D" w:rsidRDefault="00FA7132" w:rsidP="00EE3FE3">
      <w:pPr>
        <w:pStyle w:val="ListParagraph"/>
        <w:widowControl/>
        <w:numPr>
          <w:ilvl w:val="2"/>
          <w:numId w:val="11"/>
        </w:numPr>
        <w:autoSpaceDE/>
        <w:autoSpaceDN/>
        <w:spacing w:after="120" w:line="312" w:lineRule="auto"/>
        <w:ind w:left="993" w:right="96" w:hanging="425"/>
        <w:rPr>
          <w:rFonts w:eastAsia="Times New Roman"/>
          <w:sz w:val="24"/>
          <w:szCs w:val="24"/>
          <w:lang w:bidi="ar-SA"/>
        </w:rPr>
      </w:pPr>
      <w:r w:rsidRPr="00DD417D">
        <w:rPr>
          <w:rFonts w:eastAsia="Times New Roman"/>
          <w:b/>
          <w:sz w:val="24"/>
          <w:szCs w:val="24"/>
          <w:lang w:bidi="ar-SA"/>
        </w:rPr>
        <w:t>Clinical transfer:</w:t>
      </w:r>
      <w:r w:rsidRPr="00DD417D">
        <w:rPr>
          <w:rFonts w:eastAsia="Times New Roman"/>
          <w:sz w:val="24"/>
          <w:szCs w:val="24"/>
          <w:lang w:bidi="ar-SA"/>
        </w:rPr>
        <w:t xml:space="preserve"> a patient’s own clinical care requires expertise unavailable in their current critical care unit or hospital </w:t>
      </w:r>
    </w:p>
    <w:p w14:paraId="039138B5" w14:textId="7BC0F97C" w:rsidR="00A26E89" w:rsidRDefault="00A26E89" w:rsidP="00EE3FE3">
      <w:pPr>
        <w:pStyle w:val="ListParagraph"/>
        <w:widowControl/>
        <w:numPr>
          <w:ilvl w:val="2"/>
          <w:numId w:val="11"/>
        </w:numPr>
        <w:autoSpaceDE/>
        <w:autoSpaceDN/>
        <w:spacing w:after="120" w:line="312" w:lineRule="auto"/>
        <w:ind w:left="993" w:right="96" w:hanging="425"/>
        <w:rPr>
          <w:rFonts w:eastAsia="Times New Roman"/>
          <w:sz w:val="24"/>
          <w:szCs w:val="24"/>
          <w:lang w:bidi="ar-SA"/>
        </w:rPr>
      </w:pPr>
      <w:r w:rsidRPr="00972621">
        <w:rPr>
          <w:rFonts w:eastAsia="Times New Roman"/>
          <w:b/>
          <w:sz w:val="24"/>
          <w:szCs w:val="24"/>
          <w:lang w:bidi="ar-SA"/>
        </w:rPr>
        <w:t>Repatriation</w:t>
      </w:r>
      <w:r>
        <w:rPr>
          <w:rFonts w:eastAsia="Times New Roman"/>
          <w:sz w:val="24"/>
          <w:szCs w:val="24"/>
          <w:lang w:bidi="ar-SA"/>
        </w:rPr>
        <w:t xml:space="preserve">: </w:t>
      </w:r>
      <w:r w:rsidRPr="00972621">
        <w:rPr>
          <w:rFonts w:eastAsia="Times New Roman"/>
          <w:sz w:val="24"/>
          <w:szCs w:val="24"/>
          <w:lang w:bidi="ar-SA"/>
        </w:rPr>
        <w:t xml:space="preserve">the patient is being repatriated closer to home, family, </w:t>
      </w:r>
      <w:r w:rsidR="007B5333" w:rsidRPr="00972621">
        <w:rPr>
          <w:rFonts w:eastAsia="Times New Roman"/>
          <w:sz w:val="24"/>
          <w:szCs w:val="24"/>
          <w:lang w:bidi="ar-SA"/>
        </w:rPr>
        <w:t>friends,</w:t>
      </w:r>
      <w:r w:rsidRPr="00972621">
        <w:rPr>
          <w:rFonts w:eastAsia="Times New Roman"/>
          <w:sz w:val="24"/>
          <w:szCs w:val="24"/>
          <w:lang w:bidi="ar-SA"/>
        </w:rPr>
        <w:t xml:space="preserve"> or carers (‘repatriation’) </w:t>
      </w:r>
    </w:p>
    <w:p w14:paraId="146A2098" w14:textId="4BE6C1FC" w:rsidR="00FA7132" w:rsidRDefault="00FA7132" w:rsidP="00EE3FE3">
      <w:pPr>
        <w:pStyle w:val="ListParagraph"/>
        <w:widowControl/>
        <w:numPr>
          <w:ilvl w:val="2"/>
          <w:numId w:val="11"/>
        </w:numPr>
        <w:autoSpaceDE/>
        <w:autoSpaceDN/>
        <w:spacing w:after="120" w:line="312" w:lineRule="auto"/>
        <w:ind w:left="993" w:right="96" w:hanging="425"/>
        <w:rPr>
          <w:rFonts w:eastAsia="Times New Roman"/>
          <w:sz w:val="24"/>
          <w:szCs w:val="24"/>
          <w:lang w:bidi="ar-SA"/>
        </w:rPr>
      </w:pPr>
      <w:r w:rsidRPr="00DD417D">
        <w:rPr>
          <w:rFonts w:eastAsia="Times New Roman"/>
          <w:b/>
          <w:sz w:val="24"/>
          <w:szCs w:val="24"/>
          <w:lang w:bidi="ar-SA"/>
        </w:rPr>
        <w:t>Mutual aid or surge transfer:</w:t>
      </w:r>
      <w:r w:rsidRPr="00DD417D">
        <w:rPr>
          <w:rFonts w:eastAsia="Times New Roman"/>
          <w:sz w:val="24"/>
          <w:szCs w:val="24"/>
          <w:lang w:bidi="ar-SA"/>
        </w:rPr>
        <w:t xml:space="preserve">  the treating critical care unit is under extreme clinical pressure</w:t>
      </w:r>
      <w:r w:rsidR="00670DA5">
        <w:rPr>
          <w:rFonts w:eastAsia="Times New Roman"/>
          <w:sz w:val="24"/>
          <w:szCs w:val="24"/>
          <w:lang w:bidi="ar-SA"/>
        </w:rPr>
        <w:t>, beyond its usual capacity,</w:t>
      </w:r>
      <w:r w:rsidRPr="00DD417D">
        <w:rPr>
          <w:rFonts w:eastAsia="Times New Roman"/>
          <w:sz w:val="24"/>
          <w:szCs w:val="24"/>
          <w:lang w:bidi="ar-SA"/>
        </w:rPr>
        <w:t xml:space="preserve"> and the patient is likely to benefit from moving to a less busy unit</w:t>
      </w:r>
      <w:r w:rsidR="006C0402">
        <w:rPr>
          <w:rFonts w:eastAsia="Times New Roman"/>
          <w:sz w:val="24"/>
          <w:szCs w:val="24"/>
          <w:lang w:bidi="ar-SA"/>
        </w:rPr>
        <w:t>.  The unit is likely to be 2 CRITCON scores higher than neighbouring units.</w:t>
      </w:r>
      <w:r w:rsidRPr="00DD417D">
        <w:rPr>
          <w:rFonts w:eastAsia="Times New Roman"/>
          <w:sz w:val="24"/>
          <w:szCs w:val="24"/>
          <w:lang w:bidi="ar-SA"/>
        </w:rPr>
        <w:t xml:space="preserve"> </w:t>
      </w:r>
    </w:p>
    <w:p w14:paraId="0D746569" w14:textId="280D753A" w:rsidR="00FA7132" w:rsidRPr="00DD417D" w:rsidRDefault="00FA7132" w:rsidP="00EE3FE3">
      <w:pPr>
        <w:pStyle w:val="ListParagraph"/>
        <w:widowControl/>
        <w:numPr>
          <w:ilvl w:val="2"/>
          <w:numId w:val="11"/>
        </w:numPr>
        <w:autoSpaceDE/>
        <w:autoSpaceDN/>
        <w:spacing w:after="120" w:line="312" w:lineRule="auto"/>
        <w:ind w:left="993" w:right="96" w:hanging="425"/>
        <w:rPr>
          <w:rFonts w:eastAsia="Times New Roman"/>
          <w:sz w:val="24"/>
          <w:szCs w:val="24"/>
        </w:rPr>
      </w:pPr>
      <w:r w:rsidRPr="00DD417D">
        <w:rPr>
          <w:rFonts w:eastAsia="Times New Roman"/>
          <w:b/>
          <w:sz w:val="24"/>
          <w:szCs w:val="24"/>
          <w:lang w:bidi="ar-SA"/>
        </w:rPr>
        <w:t>Capacity transfer:</w:t>
      </w:r>
      <w:r>
        <w:rPr>
          <w:rFonts w:eastAsia="Times New Roman"/>
          <w:sz w:val="24"/>
          <w:szCs w:val="24"/>
          <w:lang w:bidi="ar-SA"/>
        </w:rPr>
        <w:t xml:space="preserve"> </w:t>
      </w:r>
      <w:r w:rsidRPr="00DD417D">
        <w:rPr>
          <w:rFonts w:eastAsia="Times New Roman"/>
          <w:sz w:val="24"/>
          <w:szCs w:val="24"/>
          <w:lang w:bidi="ar-SA"/>
        </w:rPr>
        <w:t xml:space="preserve">the treating critical care unit needs to create capacity to facilitate emergency or urgent clinical care for </w:t>
      </w:r>
      <w:r>
        <w:rPr>
          <w:rFonts w:eastAsia="Times New Roman"/>
          <w:sz w:val="24"/>
          <w:szCs w:val="24"/>
          <w:lang w:bidi="ar-SA"/>
        </w:rPr>
        <w:t>an</w:t>
      </w:r>
      <w:r w:rsidRPr="00FA7132">
        <w:rPr>
          <w:rFonts w:eastAsia="Times New Roman"/>
          <w:sz w:val="24"/>
          <w:szCs w:val="24"/>
          <w:lang w:bidi="ar-SA"/>
        </w:rPr>
        <w:t>other patient</w:t>
      </w:r>
      <w:r>
        <w:rPr>
          <w:rFonts w:eastAsia="Times New Roman"/>
          <w:sz w:val="24"/>
          <w:szCs w:val="24"/>
          <w:lang w:bidi="ar-SA"/>
        </w:rPr>
        <w:t xml:space="preserve">. </w:t>
      </w:r>
      <w:r w:rsidRPr="00DD417D">
        <w:rPr>
          <w:rFonts w:eastAsia="Times New Roman"/>
          <w:sz w:val="24"/>
          <w:szCs w:val="24"/>
          <w:lang w:bidi="ar-SA"/>
        </w:rPr>
        <w:t>This may occur outside surge conditions, in exceptional circumstances</w:t>
      </w:r>
      <w:r w:rsidR="00D53AD8">
        <w:rPr>
          <w:rFonts w:eastAsia="Times New Roman"/>
          <w:sz w:val="24"/>
          <w:szCs w:val="24"/>
          <w:lang w:bidi="ar-SA"/>
        </w:rPr>
        <w:t>,</w:t>
      </w:r>
      <w:r w:rsidRPr="00DD417D">
        <w:rPr>
          <w:rFonts w:eastAsia="Times New Roman"/>
          <w:sz w:val="24"/>
          <w:szCs w:val="24"/>
          <w:lang w:bidi="ar-SA"/>
        </w:rPr>
        <w:t xml:space="preserve"> to support </w:t>
      </w:r>
      <w:r w:rsidRPr="00DD417D">
        <w:rPr>
          <w:rFonts w:eastAsia="Times New Roman"/>
          <w:sz w:val="24"/>
          <w:szCs w:val="24"/>
          <w:lang w:bidi="ar-SA"/>
        </w:rPr>
        <w:lastRenderedPageBreak/>
        <w:t xml:space="preserve">urgent admission for another patient. </w:t>
      </w:r>
      <w:r w:rsidR="00D53AD8" w:rsidRPr="00D53AD8">
        <w:rPr>
          <w:rFonts w:eastAsia="Times New Roman"/>
          <w:sz w:val="24"/>
          <w:szCs w:val="24"/>
        </w:rPr>
        <w:t>An urgent intervention is considered to be P1 and P2 surgery, without which a patient is at risk of reduced survival or significant morbidity if surgery i</w:t>
      </w:r>
      <w:r w:rsidR="00D53AD8">
        <w:rPr>
          <w:rFonts w:eastAsia="Times New Roman"/>
          <w:sz w:val="24"/>
          <w:szCs w:val="24"/>
        </w:rPr>
        <w:t xml:space="preserve">s </w:t>
      </w:r>
      <w:r w:rsidR="00D53AD8" w:rsidRPr="006C0402">
        <w:rPr>
          <w:rFonts w:eastAsia="Times New Roman"/>
          <w:sz w:val="24"/>
          <w:szCs w:val="24"/>
        </w:rPr>
        <w:t xml:space="preserve">delayed. Separate guidance on </w:t>
      </w:r>
      <w:hyperlink r:id="rId17" w:history="1">
        <w:r w:rsidR="00D53AD8" w:rsidRPr="006C0402">
          <w:rPr>
            <w:rStyle w:val="Hyperlink"/>
            <w:rFonts w:eastAsia="Times New Roman"/>
            <w:sz w:val="24"/>
            <w:szCs w:val="24"/>
          </w:rPr>
          <w:t>capacity transfers</w:t>
        </w:r>
      </w:hyperlink>
      <w:r w:rsidR="00721F6D" w:rsidRPr="006C0402">
        <w:rPr>
          <w:rFonts w:eastAsia="Times New Roman"/>
          <w:sz w:val="24"/>
          <w:szCs w:val="24"/>
        </w:rPr>
        <w:t xml:space="preserve"> </w:t>
      </w:r>
      <w:r w:rsidR="00F6144C" w:rsidRPr="006C0402">
        <w:rPr>
          <w:rFonts w:eastAsia="Times New Roman"/>
          <w:sz w:val="24"/>
          <w:szCs w:val="24"/>
        </w:rPr>
        <w:t>has been published by NHSE</w:t>
      </w:r>
      <w:r w:rsidR="00F6144C">
        <w:rPr>
          <w:rFonts w:eastAsia="Times New Roman"/>
          <w:sz w:val="24"/>
          <w:szCs w:val="24"/>
        </w:rPr>
        <w:t>.</w:t>
      </w:r>
      <w:r w:rsidR="00D53AD8" w:rsidRPr="00D53AD8">
        <w:rPr>
          <w:rFonts w:eastAsia="Times New Roman"/>
          <w:sz w:val="24"/>
          <w:szCs w:val="24"/>
        </w:rPr>
        <w:t xml:space="preserve"> </w:t>
      </w:r>
    </w:p>
    <w:p w14:paraId="4CCF400D" w14:textId="14D45939" w:rsidR="00387DF6" w:rsidRDefault="00387DF6" w:rsidP="00EE3FE3">
      <w:pPr>
        <w:pStyle w:val="BodyText"/>
        <w:numPr>
          <w:ilvl w:val="1"/>
          <w:numId w:val="20"/>
        </w:numPr>
        <w:spacing w:line="312" w:lineRule="auto"/>
        <w:ind w:left="567" w:hanging="567"/>
        <w:rPr>
          <w:spacing w:val="-10"/>
        </w:rPr>
      </w:pPr>
      <w:r w:rsidRPr="00D34477">
        <w:rPr>
          <w:spacing w:val="-10"/>
        </w:rPr>
        <w:t xml:space="preserve">Key </w:t>
      </w:r>
      <w:r w:rsidR="00D53AD8">
        <w:rPr>
          <w:spacing w:val="-10"/>
        </w:rPr>
        <w:t>considerations prior to enacting mutual aid or capacity transfers</w:t>
      </w:r>
      <w:r w:rsidRPr="00B246AE">
        <w:rPr>
          <w:spacing w:val="-10"/>
        </w:rPr>
        <w:t xml:space="preserve"> include:</w:t>
      </w:r>
    </w:p>
    <w:p w14:paraId="0F3B82FE" w14:textId="77777777" w:rsidR="00934460" w:rsidRPr="00B246AE" w:rsidRDefault="00934460" w:rsidP="00934460">
      <w:pPr>
        <w:pStyle w:val="BodyText"/>
        <w:spacing w:line="312" w:lineRule="auto"/>
        <w:ind w:left="567"/>
        <w:rPr>
          <w:spacing w:val="-10"/>
        </w:rPr>
      </w:pPr>
    </w:p>
    <w:p w14:paraId="370B1D1C" w14:textId="354CD85B" w:rsidR="00224A3E" w:rsidRDefault="00224A3E" w:rsidP="00EE3FE3">
      <w:pPr>
        <w:numPr>
          <w:ilvl w:val="2"/>
          <w:numId w:val="1"/>
        </w:numPr>
        <w:spacing w:after="120" w:line="276" w:lineRule="auto"/>
        <w:ind w:left="993" w:right="99" w:hanging="448"/>
        <w:rPr>
          <w:spacing w:val="-3"/>
          <w:sz w:val="24"/>
          <w:szCs w:val="24"/>
        </w:rPr>
      </w:pPr>
      <w:r>
        <w:rPr>
          <w:spacing w:val="-3"/>
          <w:sz w:val="24"/>
          <w:szCs w:val="24"/>
        </w:rPr>
        <w:t xml:space="preserve">No single unit </w:t>
      </w:r>
      <w:r w:rsidR="00E83294">
        <w:rPr>
          <w:spacing w:val="-3"/>
          <w:sz w:val="24"/>
          <w:szCs w:val="24"/>
        </w:rPr>
        <w:t xml:space="preserve">within a network </w:t>
      </w:r>
      <w:r>
        <w:rPr>
          <w:spacing w:val="-3"/>
          <w:sz w:val="24"/>
          <w:szCs w:val="24"/>
        </w:rPr>
        <w:t xml:space="preserve">should be operating </w:t>
      </w:r>
      <w:r w:rsidR="00F02096">
        <w:rPr>
          <w:spacing w:val="-3"/>
          <w:sz w:val="24"/>
          <w:szCs w:val="24"/>
        </w:rPr>
        <w:t>greater</w:t>
      </w:r>
      <w:r w:rsidR="00E55A86">
        <w:rPr>
          <w:spacing w:val="-3"/>
          <w:sz w:val="24"/>
          <w:szCs w:val="24"/>
        </w:rPr>
        <w:t xml:space="preserve"> than 2 CRITCON scores </w:t>
      </w:r>
      <w:r w:rsidR="003B274D">
        <w:rPr>
          <w:spacing w:val="-3"/>
          <w:sz w:val="24"/>
          <w:szCs w:val="24"/>
        </w:rPr>
        <w:t>from other units in the network</w:t>
      </w:r>
      <w:r w:rsidR="00B12B70">
        <w:rPr>
          <w:spacing w:val="-3"/>
          <w:sz w:val="24"/>
          <w:szCs w:val="24"/>
        </w:rPr>
        <w:t>.</w:t>
      </w:r>
    </w:p>
    <w:p w14:paraId="7C6688EB" w14:textId="625D7980" w:rsidR="00AE7DBA" w:rsidRPr="009D597B" w:rsidRDefault="00AE7DBA" w:rsidP="00EE3FE3">
      <w:pPr>
        <w:numPr>
          <w:ilvl w:val="2"/>
          <w:numId w:val="1"/>
        </w:numPr>
        <w:spacing w:after="120" w:line="276" w:lineRule="auto"/>
        <w:ind w:left="993" w:right="99" w:hanging="448"/>
        <w:rPr>
          <w:spacing w:val="-3"/>
          <w:sz w:val="24"/>
          <w:szCs w:val="24"/>
        </w:rPr>
      </w:pPr>
      <w:r w:rsidRPr="009D597B">
        <w:rPr>
          <w:spacing w:val="-3"/>
          <w:sz w:val="24"/>
          <w:szCs w:val="24"/>
        </w:rPr>
        <w:t xml:space="preserve">All patients should have equitable access to critical care when </w:t>
      </w:r>
      <w:proofErr w:type="gramStart"/>
      <w:r w:rsidRPr="009D597B">
        <w:rPr>
          <w:spacing w:val="-3"/>
          <w:sz w:val="24"/>
          <w:szCs w:val="24"/>
        </w:rPr>
        <w:t>required</w:t>
      </w:r>
      <w:proofErr w:type="gramEnd"/>
    </w:p>
    <w:p w14:paraId="31465277" w14:textId="77777777" w:rsidR="00D53AD8" w:rsidRPr="009D597B" w:rsidRDefault="00D53AD8" w:rsidP="00EE3FE3">
      <w:pPr>
        <w:numPr>
          <w:ilvl w:val="2"/>
          <w:numId w:val="1"/>
        </w:numPr>
        <w:spacing w:after="120" w:line="276" w:lineRule="auto"/>
        <w:ind w:left="993" w:right="99" w:hanging="448"/>
        <w:rPr>
          <w:spacing w:val="-3"/>
          <w:sz w:val="24"/>
          <w:szCs w:val="24"/>
        </w:rPr>
      </w:pPr>
      <w:r w:rsidRPr="009D597B">
        <w:rPr>
          <w:spacing w:val="-3"/>
          <w:sz w:val="24"/>
          <w:szCs w:val="24"/>
        </w:rPr>
        <w:t>If critical care capacity is limited by issues with patient flow (i.e. delayed discharges), these must be resolved before patient transfers are considered</w:t>
      </w:r>
    </w:p>
    <w:p w14:paraId="09B894DC" w14:textId="5C660B30" w:rsidR="00920C5B" w:rsidRPr="00636245" w:rsidRDefault="00920C5B" w:rsidP="00EE3FE3">
      <w:pPr>
        <w:numPr>
          <w:ilvl w:val="2"/>
          <w:numId w:val="1"/>
        </w:numPr>
        <w:spacing w:after="120" w:line="276" w:lineRule="auto"/>
        <w:ind w:left="993" w:right="99" w:hanging="448"/>
        <w:rPr>
          <w:spacing w:val="-3"/>
          <w:sz w:val="24"/>
          <w:szCs w:val="24"/>
        </w:rPr>
      </w:pPr>
      <w:r w:rsidRPr="00636245">
        <w:rPr>
          <w:spacing w:val="-3"/>
          <w:sz w:val="24"/>
          <w:szCs w:val="24"/>
        </w:rPr>
        <w:t>The referring Trust/system/region must have undertaken all reasonable measures to improve critical care capacity whilst maintaining safe staffing limits</w:t>
      </w:r>
    </w:p>
    <w:p w14:paraId="7700A375" w14:textId="043BC628" w:rsidR="0096655C" w:rsidRPr="00636245" w:rsidRDefault="00920C5B" w:rsidP="00EE3FE3">
      <w:pPr>
        <w:numPr>
          <w:ilvl w:val="2"/>
          <w:numId w:val="1"/>
        </w:numPr>
        <w:spacing w:after="120" w:line="276" w:lineRule="auto"/>
        <w:ind w:left="993" w:right="99" w:hanging="448"/>
        <w:rPr>
          <w:spacing w:val="-3"/>
          <w:sz w:val="24"/>
          <w:szCs w:val="24"/>
        </w:rPr>
      </w:pPr>
      <w:r w:rsidRPr="00636245">
        <w:rPr>
          <w:spacing w:val="-3"/>
          <w:sz w:val="24"/>
          <w:szCs w:val="24"/>
        </w:rPr>
        <w:t>The decision to transfer a patient may be required in exceptional circumstances to facilitate another patient’s life threatening/limiting surgery or intervention in the referring hospital when safe capacity in the critical care unit has, or is expected to be exceeded within hours</w:t>
      </w:r>
    </w:p>
    <w:p w14:paraId="21041742" w14:textId="568E39DA" w:rsidR="008D611A" w:rsidRPr="009D597B" w:rsidRDefault="00AE7DBA" w:rsidP="00EE3FE3">
      <w:pPr>
        <w:numPr>
          <w:ilvl w:val="2"/>
          <w:numId w:val="1"/>
        </w:numPr>
        <w:spacing w:after="120" w:line="276" w:lineRule="auto"/>
        <w:ind w:left="993" w:right="99" w:hanging="448"/>
        <w:rPr>
          <w:spacing w:val="-3"/>
          <w:sz w:val="24"/>
          <w:szCs w:val="24"/>
        </w:rPr>
      </w:pPr>
      <w:r w:rsidRPr="009D597B">
        <w:rPr>
          <w:spacing w:val="-3"/>
          <w:sz w:val="24"/>
          <w:szCs w:val="24"/>
        </w:rPr>
        <w:t>Decompression of units can facilitate safe provision of critical care across a system when the system is faced with exceptional demand.</w:t>
      </w:r>
    </w:p>
    <w:p w14:paraId="671DC3AF" w14:textId="48BB7195" w:rsidR="00A26E89" w:rsidRPr="009D597B" w:rsidRDefault="00910605" w:rsidP="00EE3FE3">
      <w:pPr>
        <w:numPr>
          <w:ilvl w:val="2"/>
          <w:numId w:val="1"/>
        </w:numPr>
        <w:spacing w:after="120" w:line="276" w:lineRule="auto"/>
        <w:ind w:left="993" w:right="99" w:hanging="448"/>
        <w:rPr>
          <w:sz w:val="24"/>
          <w:szCs w:val="24"/>
        </w:rPr>
      </w:pPr>
      <w:r w:rsidRPr="009D597B">
        <w:rPr>
          <w:sz w:val="24"/>
          <w:szCs w:val="24"/>
        </w:rPr>
        <w:t xml:space="preserve">The decision of who to transfer should be made on a case by case basis following discussions between clinicians </w:t>
      </w:r>
      <w:r w:rsidR="008D611A" w:rsidRPr="009D597B">
        <w:rPr>
          <w:sz w:val="24"/>
          <w:szCs w:val="24"/>
        </w:rPr>
        <w:t>on referring and receiving units</w:t>
      </w:r>
      <w:r w:rsidRPr="009D597B">
        <w:rPr>
          <w:sz w:val="24"/>
          <w:szCs w:val="24"/>
        </w:rPr>
        <w:t xml:space="preserve">. </w:t>
      </w:r>
    </w:p>
    <w:p w14:paraId="6565A6EF" w14:textId="7DC74BFA" w:rsidR="00AE7DBA" w:rsidRPr="009D597B" w:rsidRDefault="00910605" w:rsidP="00EE3FE3">
      <w:pPr>
        <w:numPr>
          <w:ilvl w:val="2"/>
          <w:numId w:val="1"/>
        </w:numPr>
        <w:spacing w:after="120" w:line="276" w:lineRule="auto"/>
        <w:ind w:left="993" w:right="99" w:hanging="448"/>
        <w:rPr>
          <w:spacing w:val="-3"/>
          <w:sz w:val="24"/>
          <w:szCs w:val="24"/>
        </w:rPr>
      </w:pPr>
      <w:r w:rsidRPr="009D597B">
        <w:rPr>
          <w:sz w:val="24"/>
          <w:szCs w:val="24"/>
        </w:rPr>
        <w:t xml:space="preserve">The reason for transfer </w:t>
      </w:r>
      <w:r w:rsidR="006B3D9E" w:rsidRPr="009D597B">
        <w:rPr>
          <w:sz w:val="24"/>
          <w:szCs w:val="24"/>
        </w:rPr>
        <w:t>should be</w:t>
      </w:r>
      <w:r w:rsidRPr="009D597B">
        <w:rPr>
          <w:sz w:val="24"/>
          <w:szCs w:val="24"/>
        </w:rPr>
        <w:t xml:space="preserve"> explained clearly </w:t>
      </w:r>
      <w:r w:rsidR="008D611A" w:rsidRPr="009D597B">
        <w:rPr>
          <w:sz w:val="24"/>
          <w:szCs w:val="24"/>
        </w:rPr>
        <w:t>to</w:t>
      </w:r>
      <w:r w:rsidRPr="009D597B">
        <w:rPr>
          <w:sz w:val="24"/>
          <w:szCs w:val="24"/>
        </w:rPr>
        <w:t xml:space="preserve"> the patient and family/next of kin in line with </w:t>
      </w:r>
      <w:hyperlink r:id="rId18" w:history="1">
        <w:r w:rsidRPr="00155B46">
          <w:rPr>
            <w:rStyle w:val="Hyperlink"/>
            <w:sz w:val="24"/>
            <w:szCs w:val="24"/>
          </w:rPr>
          <w:t>Duty of Candour</w:t>
        </w:r>
      </w:hyperlink>
      <w:r w:rsidRPr="009D597B">
        <w:rPr>
          <w:sz w:val="24"/>
          <w:szCs w:val="24"/>
        </w:rPr>
        <w:t xml:space="preserve">. </w:t>
      </w:r>
      <w:r w:rsidR="008D611A" w:rsidRPr="009D597B">
        <w:rPr>
          <w:sz w:val="24"/>
          <w:szCs w:val="24"/>
        </w:rPr>
        <w:t>Capacity transfers require patient consent or family/</w:t>
      </w:r>
      <w:r w:rsidR="00A26E89" w:rsidRPr="009D597B">
        <w:rPr>
          <w:sz w:val="24"/>
          <w:szCs w:val="24"/>
        </w:rPr>
        <w:t>next of kin</w:t>
      </w:r>
      <w:r w:rsidR="008D611A" w:rsidRPr="009D597B">
        <w:rPr>
          <w:sz w:val="24"/>
          <w:szCs w:val="24"/>
        </w:rPr>
        <w:t xml:space="preserve"> assent</w:t>
      </w:r>
      <w:r w:rsidR="000A2703">
        <w:rPr>
          <w:sz w:val="24"/>
          <w:szCs w:val="24"/>
        </w:rPr>
        <w:t>.</w:t>
      </w:r>
    </w:p>
    <w:p w14:paraId="10BA6A9F" w14:textId="77777777" w:rsidR="00A26E89" w:rsidRPr="00AE7DBA" w:rsidRDefault="00A26E89" w:rsidP="00F81AC2">
      <w:pPr>
        <w:tabs>
          <w:tab w:val="left" w:pos="1827"/>
          <w:tab w:val="left" w:pos="1828"/>
        </w:tabs>
        <w:spacing w:after="120" w:line="276" w:lineRule="auto"/>
        <w:ind w:left="1826" w:right="99"/>
        <w:rPr>
          <w:spacing w:val="-3"/>
          <w:sz w:val="24"/>
        </w:rPr>
      </w:pPr>
    </w:p>
    <w:p w14:paraId="1F966214" w14:textId="3815D60A" w:rsidR="001A3C86" w:rsidRPr="00C82060" w:rsidRDefault="00C70B5D" w:rsidP="007E7D70">
      <w:pPr>
        <w:spacing w:after="120"/>
        <w:ind w:right="99"/>
        <w:rPr>
          <w:b/>
          <w:color w:val="0070C0"/>
          <w:sz w:val="24"/>
          <w:szCs w:val="24"/>
        </w:rPr>
      </w:pPr>
      <w:bookmarkStart w:id="0" w:name="_Hlk93059365"/>
      <w:r w:rsidRPr="00C82060">
        <w:rPr>
          <w:b/>
          <w:color w:val="0070C0"/>
          <w:sz w:val="24"/>
          <w:szCs w:val="24"/>
        </w:rPr>
        <w:t>Escalation factors</w:t>
      </w:r>
    </w:p>
    <w:p w14:paraId="6C8A84D8" w14:textId="3472DD19" w:rsidR="002841BB" w:rsidRDefault="002841BB" w:rsidP="00EE3FE3">
      <w:pPr>
        <w:pStyle w:val="BodyText"/>
        <w:numPr>
          <w:ilvl w:val="1"/>
          <w:numId w:val="20"/>
        </w:numPr>
        <w:spacing w:line="312" w:lineRule="auto"/>
        <w:ind w:left="567" w:hanging="567"/>
        <w:rPr>
          <w:spacing w:val="-10"/>
        </w:rPr>
      </w:pPr>
      <w:r w:rsidRPr="00D34477">
        <w:rPr>
          <w:spacing w:val="-10"/>
        </w:rPr>
        <w:t xml:space="preserve">System approaches to co-ordination of the safe management of demand </w:t>
      </w:r>
      <w:bookmarkEnd w:id="0"/>
      <w:r w:rsidRPr="00D34477">
        <w:rPr>
          <w:spacing w:val="-10"/>
        </w:rPr>
        <w:t>and capacity should be made in alignment to local command and control structures/governance</w:t>
      </w:r>
      <w:r>
        <w:rPr>
          <w:spacing w:val="-10"/>
        </w:rPr>
        <w:t xml:space="preserve"> and </w:t>
      </w:r>
      <w:r w:rsidRPr="00F860A7">
        <w:rPr>
          <w:spacing w:val="-10"/>
        </w:rPr>
        <w:t>escalated to national levels in a consistent way</w:t>
      </w:r>
      <w:r>
        <w:rPr>
          <w:spacing w:val="-10"/>
        </w:rPr>
        <w:t>.</w:t>
      </w:r>
    </w:p>
    <w:p w14:paraId="011C7FB8" w14:textId="77777777" w:rsidR="007E7D70" w:rsidRDefault="007E7D70" w:rsidP="007E7D70">
      <w:pPr>
        <w:pStyle w:val="BodyText"/>
        <w:spacing w:line="312" w:lineRule="auto"/>
        <w:ind w:left="567"/>
        <w:rPr>
          <w:spacing w:val="-10"/>
        </w:rPr>
      </w:pPr>
    </w:p>
    <w:p w14:paraId="3598CD9E" w14:textId="4A70637C" w:rsidR="00C36A5D" w:rsidRDefault="00C36A5D" w:rsidP="00EE3FE3">
      <w:pPr>
        <w:pStyle w:val="BodyText"/>
        <w:numPr>
          <w:ilvl w:val="1"/>
          <w:numId w:val="20"/>
        </w:numPr>
        <w:spacing w:line="312" w:lineRule="auto"/>
        <w:ind w:left="567" w:hanging="567"/>
        <w:rPr>
          <w:spacing w:val="-10"/>
        </w:rPr>
      </w:pPr>
      <w:r w:rsidRPr="00D34477">
        <w:rPr>
          <w:spacing w:val="-10"/>
        </w:rPr>
        <w:t>It is imperative that the triggers to activate additional capacity are sensitive enough to give sufficient time to free up capacity before the system is grid locked.</w:t>
      </w:r>
    </w:p>
    <w:p w14:paraId="2B27511B" w14:textId="77777777" w:rsidR="007E7D70" w:rsidRPr="00431836" w:rsidRDefault="007E7D70" w:rsidP="007E7D70">
      <w:pPr>
        <w:pStyle w:val="BodyText"/>
        <w:spacing w:line="312" w:lineRule="auto"/>
        <w:rPr>
          <w:spacing w:val="-10"/>
        </w:rPr>
      </w:pPr>
    </w:p>
    <w:p w14:paraId="2465C48A" w14:textId="11F86E0E" w:rsidR="00284545" w:rsidRDefault="00DF3662" w:rsidP="00EE3FE3">
      <w:pPr>
        <w:pStyle w:val="BodyText"/>
        <w:numPr>
          <w:ilvl w:val="1"/>
          <w:numId w:val="20"/>
        </w:numPr>
        <w:spacing w:line="312" w:lineRule="auto"/>
        <w:ind w:left="567" w:hanging="567"/>
        <w:rPr>
          <w:spacing w:val="-10"/>
        </w:rPr>
      </w:pPr>
      <w:r w:rsidRPr="00D34477">
        <w:rPr>
          <w:spacing w:val="-10"/>
        </w:rPr>
        <w:t>It is recognised that the management of local surge and wider escalation pressures will be dependent upon the consideration of a number of factors. These factors include:</w:t>
      </w:r>
    </w:p>
    <w:p w14:paraId="6DD053AB" w14:textId="77777777" w:rsidR="007E7D70" w:rsidRPr="00D34477" w:rsidRDefault="007E7D70" w:rsidP="007E7D70">
      <w:pPr>
        <w:pStyle w:val="BodyText"/>
        <w:spacing w:line="312" w:lineRule="auto"/>
        <w:rPr>
          <w:spacing w:val="-10"/>
        </w:rPr>
      </w:pPr>
    </w:p>
    <w:p w14:paraId="319C7376" w14:textId="7BA9B11B" w:rsidR="00141F85" w:rsidRPr="008F7275" w:rsidRDefault="00141F85" w:rsidP="00EE3FE3">
      <w:pPr>
        <w:numPr>
          <w:ilvl w:val="2"/>
          <w:numId w:val="1"/>
        </w:numPr>
        <w:spacing w:after="120" w:line="276" w:lineRule="auto"/>
        <w:ind w:left="993" w:right="99" w:hanging="448"/>
        <w:rPr>
          <w:spacing w:val="-3"/>
          <w:sz w:val="24"/>
        </w:rPr>
      </w:pPr>
      <w:bookmarkStart w:id="1" w:name="_Hlk80705412"/>
      <w:r w:rsidRPr="008F7275">
        <w:rPr>
          <w:spacing w:val="-3"/>
          <w:sz w:val="24"/>
        </w:rPr>
        <w:t>the availability of suitably trained staff</w:t>
      </w:r>
      <w:r w:rsidR="00415C1B">
        <w:rPr>
          <w:spacing w:val="-3"/>
          <w:sz w:val="24"/>
        </w:rPr>
        <w:t>,</w:t>
      </w:r>
      <w:r w:rsidRPr="008F7275">
        <w:rPr>
          <w:spacing w:val="-3"/>
          <w:sz w:val="24"/>
        </w:rPr>
        <w:t xml:space="preserve"> and equipment and specialist </w:t>
      </w:r>
      <w:r w:rsidRPr="008F7275">
        <w:rPr>
          <w:spacing w:val="-3"/>
          <w:sz w:val="24"/>
        </w:rPr>
        <w:lastRenderedPageBreak/>
        <w:t>supplies</w:t>
      </w:r>
      <w:r w:rsidR="0071147C" w:rsidRPr="008F7275">
        <w:rPr>
          <w:spacing w:val="-3"/>
          <w:sz w:val="24"/>
        </w:rPr>
        <w:t>.</w:t>
      </w:r>
      <w:r w:rsidR="00182123" w:rsidRPr="008F7275">
        <w:rPr>
          <w:spacing w:val="-3"/>
          <w:sz w:val="24"/>
        </w:rPr>
        <w:t xml:space="preserve"> </w:t>
      </w:r>
      <w:r w:rsidR="00415C1B">
        <w:rPr>
          <w:spacing w:val="-3"/>
          <w:sz w:val="24"/>
        </w:rPr>
        <w:t>In the case of infectious disease outbreaks, t</w:t>
      </w:r>
      <w:r w:rsidR="00182123" w:rsidRPr="008F7275">
        <w:rPr>
          <w:spacing w:val="-3"/>
          <w:sz w:val="24"/>
        </w:rPr>
        <w:t xml:space="preserve">his should include consideration of the additional </w:t>
      </w:r>
      <w:r w:rsidR="00415C1B">
        <w:rPr>
          <w:spacing w:val="-3"/>
          <w:sz w:val="24"/>
        </w:rPr>
        <w:t>workforce</w:t>
      </w:r>
      <w:r w:rsidR="00415C1B" w:rsidRPr="008F7275">
        <w:rPr>
          <w:spacing w:val="-3"/>
          <w:sz w:val="24"/>
        </w:rPr>
        <w:t xml:space="preserve"> </w:t>
      </w:r>
      <w:r w:rsidR="00182123" w:rsidRPr="008F7275">
        <w:rPr>
          <w:spacing w:val="-3"/>
          <w:sz w:val="24"/>
        </w:rPr>
        <w:t>required to maintain safe staffing in separate cohorted areas</w:t>
      </w:r>
      <w:r w:rsidR="009D597B">
        <w:rPr>
          <w:spacing w:val="-3"/>
          <w:sz w:val="24"/>
        </w:rPr>
        <w:t>;</w:t>
      </w:r>
    </w:p>
    <w:bookmarkEnd w:id="1"/>
    <w:p w14:paraId="4E31E4F1" w14:textId="37FC6633" w:rsidR="00284545" w:rsidRPr="008F7275" w:rsidRDefault="00284545" w:rsidP="00EE3FE3">
      <w:pPr>
        <w:numPr>
          <w:ilvl w:val="2"/>
          <w:numId w:val="1"/>
        </w:numPr>
        <w:spacing w:after="120" w:line="276" w:lineRule="auto"/>
        <w:ind w:left="993" w:right="99" w:hanging="448"/>
        <w:rPr>
          <w:spacing w:val="-3"/>
          <w:sz w:val="24"/>
        </w:rPr>
      </w:pPr>
      <w:r w:rsidRPr="008F7275">
        <w:rPr>
          <w:spacing w:val="-3"/>
          <w:sz w:val="24"/>
        </w:rPr>
        <w:t xml:space="preserve">the case-mix of patients in local </w:t>
      </w:r>
      <w:r w:rsidR="0071147C" w:rsidRPr="008F7275">
        <w:rPr>
          <w:spacing w:val="-3"/>
          <w:sz w:val="24"/>
        </w:rPr>
        <w:t>units</w:t>
      </w:r>
      <w:r w:rsidR="009D597B">
        <w:rPr>
          <w:spacing w:val="-3"/>
          <w:sz w:val="24"/>
        </w:rPr>
        <w:t>;</w:t>
      </w:r>
    </w:p>
    <w:p w14:paraId="6B28E025" w14:textId="68E98313" w:rsidR="00284545" w:rsidRPr="008F7275" w:rsidRDefault="00284545" w:rsidP="00EE3FE3">
      <w:pPr>
        <w:numPr>
          <w:ilvl w:val="2"/>
          <w:numId w:val="1"/>
        </w:numPr>
        <w:spacing w:after="120" w:line="276" w:lineRule="auto"/>
        <w:ind w:left="993" w:right="99" w:hanging="448"/>
        <w:rPr>
          <w:spacing w:val="-3"/>
          <w:sz w:val="24"/>
        </w:rPr>
      </w:pPr>
      <w:r w:rsidRPr="008F7275">
        <w:rPr>
          <w:spacing w:val="-3"/>
          <w:sz w:val="24"/>
        </w:rPr>
        <w:t xml:space="preserve">the expected length of stay of patients </w:t>
      </w:r>
      <w:r w:rsidR="00141F85" w:rsidRPr="008F7275">
        <w:rPr>
          <w:spacing w:val="-3"/>
          <w:sz w:val="24"/>
        </w:rPr>
        <w:t>i</w:t>
      </w:r>
      <w:r w:rsidRPr="008F7275">
        <w:rPr>
          <w:spacing w:val="-3"/>
          <w:sz w:val="24"/>
        </w:rPr>
        <w:t xml:space="preserve">n local </w:t>
      </w:r>
      <w:r w:rsidR="0071147C" w:rsidRPr="008F7275">
        <w:rPr>
          <w:spacing w:val="-3"/>
          <w:sz w:val="24"/>
        </w:rPr>
        <w:t>units</w:t>
      </w:r>
      <w:r w:rsidR="009D597B">
        <w:rPr>
          <w:spacing w:val="-3"/>
          <w:sz w:val="24"/>
        </w:rPr>
        <w:t>;</w:t>
      </w:r>
    </w:p>
    <w:p w14:paraId="1A2BC92E" w14:textId="615653DB" w:rsidR="00284545" w:rsidRPr="008F7275" w:rsidRDefault="00284545" w:rsidP="00EE3FE3">
      <w:pPr>
        <w:numPr>
          <w:ilvl w:val="2"/>
          <w:numId w:val="1"/>
        </w:numPr>
        <w:spacing w:after="120" w:line="276" w:lineRule="auto"/>
        <w:ind w:left="993" w:right="99" w:hanging="448"/>
        <w:rPr>
          <w:spacing w:val="-3"/>
          <w:sz w:val="24"/>
        </w:rPr>
      </w:pPr>
      <w:r w:rsidRPr="008F7275">
        <w:rPr>
          <w:spacing w:val="-3"/>
          <w:sz w:val="24"/>
        </w:rPr>
        <w:t>the available capacity (or forecasted</w:t>
      </w:r>
      <w:r w:rsidR="0071147C" w:rsidRPr="008F7275">
        <w:rPr>
          <w:spacing w:val="-3"/>
          <w:sz w:val="24"/>
        </w:rPr>
        <w:t>)</w:t>
      </w:r>
      <w:r w:rsidR="009D597B">
        <w:rPr>
          <w:spacing w:val="-3"/>
          <w:sz w:val="24"/>
        </w:rPr>
        <w:t>;</w:t>
      </w:r>
    </w:p>
    <w:p w14:paraId="1CD1A62E" w14:textId="06C73784" w:rsidR="00284545" w:rsidRPr="008F7275" w:rsidRDefault="00284545" w:rsidP="00EE3FE3">
      <w:pPr>
        <w:numPr>
          <w:ilvl w:val="2"/>
          <w:numId w:val="1"/>
        </w:numPr>
        <w:spacing w:after="120" w:line="276" w:lineRule="auto"/>
        <w:ind w:left="993" w:right="99" w:hanging="448"/>
        <w:rPr>
          <w:spacing w:val="-3"/>
          <w:sz w:val="24"/>
        </w:rPr>
      </w:pPr>
      <w:r w:rsidRPr="008F7275">
        <w:rPr>
          <w:spacing w:val="-3"/>
          <w:sz w:val="24"/>
        </w:rPr>
        <w:t>any underlying disease rates impacting on critical care admission rates</w:t>
      </w:r>
      <w:r w:rsidR="009D597B">
        <w:rPr>
          <w:spacing w:val="-3"/>
          <w:sz w:val="24"/>
        </w:rPr>
        <w:t>; and</w:t>
      </w:r>
    </w:p>
    <w:p w14:paraId="1EE71D77" w14:textId="7F410EC2" w:rsidR="0071147C" w:rsidRDefault="009D597B" w:rsidP="00EE3FE3">
      <w:pPr>
        <w:numPr>
          <w:ilvl w:val="2"/>
          <w:numId w:val="1"/>
        </w:numPr>
        <w:spacing w:after="120" w:line="276" w:lineRule="auto"/>
        <w:ind w:left="993" w:right="99" w:hanging="448"/>
        <w:rPr>
          <w:spacing w:val="-3"/>
          <w:sz w:val="24"/>
        </w:rPr>
      </w:pPr>
      <w:r>
        <w:rPr>
          <w:spacing w:val="-3"/>
          <w:sz w:val="24"/>
        </w:rPr>
        <w:t>the s</w:t>
      </w:r>
      <w:r w:rsidR="0071147C" w:rsidRPr="008F7275">
        <w:rPr>
          <w:spacing w:val="-3"/>
          <w:sz w:val="24"/>
        </w:rPr>
        <w:t xml:space="preserve">ize of hospitals within systems and </w:t>
      </w:r>
      <w:r w:rsidR="00657023">
        <w:rPr>
          <w:spacing w:val="-3"/>
          <w:sz w:val="24"/>
        </w:rPr>
        <w:t xml:space="preserve">the </w:t>
      </w:r>
      <w:r w:rsidR="0071147C" w:rsidRPr="008F7275">
        <w:rPr>
          <w:spacing w:val="-3"/>
          <w:sz w:val="24"/>
        </w:rPr>
        <w:t>capability to extend critical care or increase surge capacity</w:t>
      </w:r>
      <w:r w:rsidR="00657023">
        <w:rPr>
          <w:spacing w:val="-3"/>
          <w:sz w:val="24"/>
        </w:rPr>
        <w:t>.</w:t>
      </w:r>
    </w:p>
    <w:p w14:paraId="75D2DE7A" w14:textId="77777777" w:rsidR="006C0402" w:rsidRPr="008F7275" w:rsidRDefault="006C0402" w:rsidP="006C0402">
      <w:pPr>
        <w:spacing w:after="120" w:line="276" w:lineRule="auto"/>
        <w:ind w:left="993" w:right="99"/>
        <w:rPr>
          <w:spacing w:val="-3"/>
          <w:sz w:val="24"/>
        </w:rPr>
      </w:pPr>
    </w:p>
    <w:p w14:paraId="015B040B" w14:textId="33831B82" w:rsidR="0027198B" w:rsidRPr="00C82060" w:rsidRDefault="0027198B" w:rsidP="007E7D70">
      <w:pPr>
        <w:spacing w:after="120"/>
        <w:ind w:right="99"/>
        <w:rPr>
          <w:b/>
          <w:color w:val="0070C0"/>
          <w:sz w:val="24"/>
          <w:szCs w:val="24"/>
        </w:rPr>
      </w:pPr>
      <w:r>
        <w:rPr>
          <w:b/>
          <w:color w:val="0070C0"/>
          <w:sz w:val="24"/>
          <w:szCs w:val="24"/>
        </w:rPr>
        <w:t>Transfer services</w:t>
      </w:r>
    </w:p>
    <w:p w14:paraId="6A1B0863" w14:textId="6D2DDF7E" w:rsidR="003C1213" w:rsidRDefault="0027198B" w:rsidP="00EE3FE3">
      <w:pPr>
        <w:pStyle w:val="BodyText"/>
        <w:numPr>
          <w:ilvl w:val="1"/>
          <w:numId w:val="20"/>
        </w:numPr>
        <w:spacing w:line="312" w:lineRule="auto"/>
        <w:ind w:left="567" w:hanging="567"/>
        <w:rPr>
          <w:spacing w:val="-10"/>
        </w:rPr>
      </w:pPr>
      <w:r>
        <w:rPr>
          <w:spacing w:val="-10"/>
        </w:rPr>
        <w:t xml:space="preserve">Within NEY there is currently a single dedicated Adult Critical Care Transfer Service (ACCTS).  This is provided by the North East and Cumbria Transfer and Retrieval Service </w:t>
      </w:r>
      <w:r w:rsidR="003C1213">
        <w:rPr>
          <w:spacing w:val="-10"/>
        </w:rPr>
        <w:t>(NECTAR) and covers transfers in Cumbria and the North East.</w:t>
      </w:r>
    </w:p>
    <w:p w14:paraId="5C7C2000" w14:textId="77777777" w:rsidR="007E7D70" w:rsidRDefault="007E7D70" w:rsidP="007E7D70">
      <w:pPr>
        <w:pStyle w:val="BodyText"/>
        <w:spacing w:line="312" w:lineRule="auto"/>
        <w:ind w:left="567"/>
        <w:rPr>
          <w:spacing w:val="-10"/>
        </w:rPr>
      </w:pPr>
    </w:p>
    <w:p w14:paraId="668764BE" w14:textId="21107BED" w:rsidR="00C277FA" w:rsidRDefault="003C1213" w:rsidP="00EE3FE3">
      <w:pPr>
        <w:pStyle w:val="BodyText"/>
        <w:numPr>
          <w:ilvl w:val="1"/>
          <w:numId w:val="20"/>
        </w:numPr>
        <w:spacing w:line="312" w:lineRule="auto"/>
        <w:ind w:left="567" w:hanging="567"/>
        <w:rPr>
          <w:spacing w:val="-10"/>
        </w:rPr>
      </w:pPr>
      <w:r>
        <w:rPr>
          <w:spacing w:val="-10"/>
        </w:rPr>
        <w:t xml:space="preserve">In Yorkshire and the Humber adult transfers are currently undertaken by </w:t>
      </w:r>
      <w:r w:rsidR="009364FE">
        <w:rPr>
          <w:spacing w:val="-10"/>
        </w:rPr>
        <w:t xml:space="preserve">blue light ambulance services </w:t>
      </w:r>
      <w:r w:rsidR="00F56258">
        <w:rPr>
          <w:spacing w:val="-10"/>
        </w:rPr>
        <w:t xml:space="preserve">(mostly by </w:t>
      </w:r>
      <w:r>
        <w:rPr>
          <w:spacing w:val="-10"/>
        </w:rPr>
        <w:t>Yorkshire Ambulance Service (YAS)</w:t>
      </w:r>
      <w:r w:rsidR="00F56258">
        <w:rPr>
          <w:spacing w:val="-10"/>
        </w:rPr>
        <w:t>)</w:t>
      </w:r>
      <w:r>
        <w:rPr>
          <w:spacing w:val="-10"/>
        </w:rPr>
        <w:t xml:space="preserve"> although plans are being developed to establish a dedicated ACCTS for Y&amp;H</w:t>
      </w:r>
      <w:r w:rsidR="00CC77EB">
        <w:rPr>
          <w:spacing w:val="-10"/>
        </w:rPr>
        <w:t>.</w:t>
      </w:r>
    </w:p>
    <w:p w14:paraId="1377A3F8" w14:textId="77777777" w:rsidR="00846E0D" w:rsidRPr="00846E0D" w:rsidRDefault="00846E0D" w:rsidP="00F81AC2">
      <w:pPr>
        <w:tabs>
          <w:tab w:val="left" w:pos="1379"/>
          <w:tab w:val="left" w:pos="1380"/>
        </w:tabs>
        <w:spacing w:after="120" w:line="245" w:lineRule="auto"/>
        <w:ind w:left="284" w:right="99"/>
        <w:rPr>
          <w:spacing w:val="-10"/>
          <w:sz w:val="24"/>
          <w:szCs w:val="24"/>
        </w:rPr>
      </w:pPr>
    </w:p>
    <w:p w14:paraId="4C28207B" w14:textId="4350A7BD" w:rsidR="00F6144C" w:rsidRDefault="007D554E" w:rsidP="00EE3FE3">
      <w:pPr>
        <w:pStyle w:val="BodyText"/>
        <w:numPr>
          <w:ilvl w:val="0"/>
          <w:numId w:val="20"/>
        </w:numPr>
        <w:ind w:left="426" w:hanging="426"/>
        <w:rPr>
          <w:b/>
          <w:color w:val="006FC0"/>
          <w:sz w:val="29"/>
        </w:rPr>
      </w:pPr>
      <w:r w:rsidRPr="00750F2D">
        <w:rPr>
          <w:b/>
          <w:color w:val="006FC0"/>
          <w:sz w:val="29"/>
        </w:rPr>
        <w:t>Escalation Thresholds</w:t>
      </w:r>
      <w:r w:rsidR="001A3C86">
        <w:rPr>
          <w:b/>
          <w:color w:val="006FC0"/>
          <w:sz w:val="29"/>
        </w:rPr>
        <w:t xml:space="preserve"> and Key Actions</w:t>
      </w:r>
    </w:p>
    <w:p w14:paraId="49D86D97" w14:textId="77777777" w:rsidR="007E7D70" w:rsidRPr="00846E0D" w:rsidRDefault="007E7D70" w:rsidP="007E7D70">
      <w:pPr>
        <w:pStyle w:val="BodyText"/>
        <w:ind w:left="426"/>
        <w:rPr>
          <w:b/>
          <w:color w:val="006FC0"/>
          <w:sz w:val="29"/>
        </w:rPr>
      </w:pPr>
    </w:p>
    <w:p w14:paraId="62F6F4DB" w14:textId="2E4FF388" w:rsidR="00A84050" w:rsidRDefault="00E841C9" w:rsidP="00EE3FE3">
      <w:pPr>
        <w:pStyle w:val="BodyText"/>
        <w:numPr>
          <w:ilvl w:val="1"/>
          <w:numId w:val="20"/>
        </w:numPr>
        <w:spacing w:line="312" w:lineRule="auto"/>
        <w:ind w:left="567" w:hanging="567"/>
        <w:rPr>
          <w:spacing w:val="-10"/>
        </w:rPr>
      </w:pPr>
      <w:r w:rsidRPr="00D34477">
        <w:rPr>
          <w:spacing w:val="-10"/>
        </w:rPr>
        <w:t>Requirement to surge</w:t>
      </w:r>
      <w:r w:rsidR="00FD79F6" w:rsidRPr="00D34477">
        <w:rPr>
          <w:spacing w:val="-10"/>
        </w:rPr>
        <w:t xml:space="preserve"> </w:t>
      </w:r>
      <w:r w:rsidR="00DF297B" w:rsidRPr="00D34477">
        <w:rPr>
          <w:spacing w:val="-10"/>
        </w:rPr>
        <w:t xml:space="preserve">Critical Care capacity </w:t>
      </w:r>
      <w:r w:rsidR="00FD79F6" w:rsidRPr="00D34477">
        <w:rPr>
          <w:spacing w:val="-10"/>
        </w:rPr>
        <w:t xml:space="preserve">can be extremely rapid and </w:t>
      </w:r>
      <w:r w:rsidRPr="00D34477">
        <w:rPr>
          <w:spacing w:val="-10"/>
        </w:rPr>
        <w:t xml:space="preserve">can </w:t>
      </w:r>
      <w:r w:rsidR="00FD79F6" w:rsidRPr="00D34477">
        <w:rPr>
          <w:spacing w:val="-10"/>
        </w:rPr>
        <w:t>occur over a 48 to 72-hour period.</w:t>
      </w:r>
    </w:p>
    <w:p w14:paraId="01A286FF" w14:textId="77777777" w:rsidR="007E7D70" w:rsidRPr="00D34477" w:rsidRDefault="007E7D70" w:rsidP="007E7D70">
      <w:pPr>
        <w:pStyle w:val="BodyText"/>
        <w:spacing w:line="312" w:lineRule="auto"/>
        <w:ind w:left="567"/>
        <w:rPr>
          <w:spacing w:val="-10"/>
        </w:rPr>
      </w:pPr>
    </w:p>
    <w:p w14:paraId="485CA6B6" w14:textId="6EF976AA" w:rsidR="00A84050" w:rsidRDefault="00A84050" w:rsidP="00EE3FE3">
      <w:pPr>
        <w:pStyle w:val="BodyText"/>
        <w:numPr>
          <w:ilvl w:val="1"/>
          <w:numId w:val="20"/>
        </w:numPr>
        <w:spacing w:line="312" w:lineRule="auto"/>
        <w:ind w:left="567" w:hanging="567"/>
        <w:rPr>
          <w:spacing w:val="-10"/>
        </w:rPr>
      </w:pPr>
      <w:r w:rsidRPr="009D597B">
        <w:rPr>
          <w:spacing w:val="-10"/>
        </w:rPr>
        <w:t xml:space="preserve">The description of </w:t>
      </w:r>
      <w:r w:rsidR="00DF297B" w:rsidRPr="009D597B">
        <w:rPr>
          <w:spacing w:val="-10"/>
        </w:rPr>
        <w:t xml:space="preserve">Critical Care </w:t>
      </w:r>
      <w:r w:rsidRPr="009D597B">
        <w:rPr>
          <w:spacing w:val="-10"/>
        </w:rPr>
        <w:t>escalation phases are:</w:t>
      </w:r>
    </w:p>
    <w:p w14:paraId="500F1689" w14:textId="77777777" w:rsidR="007E7D70" w:rsidRPr="009D597B" w:rsidRDefault="007E7D70" w:rsidP="007E7D70">
      <w:pPr>
        <w:pStyle w:val="BodyText"/>
        <w:spacing w:line="312" w:lineRule="auto"/>
        <w:rPr>
          <w:spacing w:val="-10"/>
        </w:rPr>
      </w:pPr>
    </w:p>
    <w:p w14:paraId="550AD22B" w14:textId="4E2BB114" w:rsidR="005C6A0B" w:rsidRPr="00B456C9" w:rsidRDefault="00A84050" w:rsidP="00EE3FE3">
      <w:pPr>
        <w:pStyle w:val="ListParagraph"/>
        <w:numPr>
          <w:ilvl w:val="0"/>
          <w:numId w:val="10"/>
        </w:numPr>
        <w:spacing w:after="120" w:line="276" w:lineRule="auto"/>
        <w:ind w:left="993" w:right="99" w:hanging="426"/>
        <w:rPr>
          <w:spacing w:val="-3"/>
          <w:sz w:val="20"/>
          <w:szCs w:val="20"/>
        </w:rPr>
      </w:pPr>
      <w:r w:rsidRPr="00DD417D">
        <w:rPr>
          <w:b/>
          <w:bCs/>
          <w:spacing w:val="-3"/>
          <w:sz w:val="24"/>
        </w:rPr>
        <w:t>Pre-surge phase</w:t>
      </w:r>
      <w:r w:rsidRPr="00DD417D">
        <w:rPr>
          <w:spacing w:val="-3"/>
          <w:sz w:val="24"/>
        </w:rPr>
        <w:t xml:space="preserve"> occurs during most periods of higher activity (</w:t>
      </w:r>
      <w:r w:rsidR="00175762" w:rsidRPr="00DD417D">
        <w:rPr>
          <w:spacing w:val="-3"/>
          <w:sz w:val="24"/>
        </w:rPr>
        <w:t>e.g.</w:t>
      </w:r>
      <w:r w:rsidRPr="00DD417D">
        <w:rPr>
          <w:spacing w:val="-3"/>
          <w:sz w:val="24"/>
        </w:rPr>
        <w:t xml:space="preserve"> average winter) and is defined as the majority of critical care units </w:t>
      </w:r>
      <w:r w:rsidR="00D126A5" w:rsidRPr="00DD417D">
        <w:rPr>
          <w:spacing w:val="-3"/>
          <w:sz w:val="24"/>
        </w:rPr>
        <w:t xml:space="preserve">within a system are </w:t>
      </w:r>
      <w:r w:rsidRPr="00DD417D">
        <w:rPr>
          <w:spacing w:val="-3"/>
          <w:sz w:val="24"/>
        </w:rPr>
        <w:t xml:space="preserve">declaring </w:t>
      </w:r>
      <w:hyperlink r:id="rId19" w:history="1">
        <w:r w:rsidRPr="005257AF">
          <w:rPr>
            <w:rStyle w:val="Hyperlink"/>
            <w:spacing w:val="-3"/>
            <w:sz w:val="24"/>
          </w:rPr>
          <w:t>CRITCON 0-1</w:t>
        </w:r>
      </w:hyperlink>
      <w:r w:rsidR="00B456C9">
        <w:rPr>
          <w:rStyle w:val="Hyperlink"/>
          <w:spacing w:val="-3"/>
          <w:sz w:val="24"/>
        </w:rPr>
        <w:t xml:space="preserve"> </w:t>
      </w:r>
      <w:r w:rsidR="00B456C9" w:rsidRPr="00B456C9">
        <w:rPr>
          <w:sz w:val="20"/>
          <w:szCs w:val="20"/>
        </w:rPr>
        <w:t>(it is assumed that all units have all commissioned capacity open)</w:t>
      </w:r>
    </w:p>
    <w:p w14:paraId="5F6FCCB8" w14:textId="7D4E8402" w:rsidR="005C6A0B" w:rsidRPr="00DD417D" w:rsidRDefault="00A84050" w:rsidP="00EE3FE3">
      <w:pPr>
        <w:pStyle w:val="ListParagraph"/>
        <w:numPr>
          <w:ilvl w:val="0"/>
          <w:numId w:val="10"/>
        </w:numPr>
        <w:spacing w:after="120" w:line="276" w:lineRule="auto"/>
        <w:ind w:left="993" w:right="99" w:hanging="426"/>
        <w:rPr>
          <w:spacing w:val="-3"/>
          <w:sz w:val="24"/>
        </w:rPr>
      </w:pPr>
      <w:r w:rsidRPr="00DD417D">
        <w:rPr>
          <w:b/>
          <w:bCs/>
          <w:spacing w:val="-3"/>
          <w:sz w:val="24"/>
        </w:rPr>
        <w:t>Surge phase</w:t>
      </w:r>
      <w:r w:rsidRPr="00DD417D">
        <w:rPr>
          <w:spacing w:val="-3"/>
          <w:sz w:val="24"/>
        </w:rPr>
        <w:t xml:space="preserve"> represents expected winter pressures where critical care units, systems and regions are operating within regional winter planning assumptions with the majority of units declaring </w:t>
      </w:r>
      <w:hyperlink r:id="rId20" w:history="1">
        <w:r w:rsidRPr="005257AF">
          <w:rPr>
            <w:rStyle w:val="Hyperlink"/>
            <w:spacing w:val="-3"/>
            <w:sz w:val="24"/>
          </w:rPr>
          <w:t>CRITCON 2</w:t>
        </w:r>
      </w:hyperlink>
    </w:p>
    <w:p w14:paraId="6811CA1B" w14:textId="7AE5BAD1" w:rsidR="005C6A0B" w:rsidRPr="00DD417D" w:rsidRDefault="00A84050" w:rsidP="00EE3FE3">
      <w:pPr>
        <w:pStyle w:val="ListParagraph"/>
        <w:numPr>
          <w:ilvl w:val="0"/>
          <w:numId w:val="10"/>
        </w:numPr>
        <w:spacing w:after="120" w:line="276" w:lineRule="auto"/>
        <w:ind w:left="993" w:right="99" w:hanging="426"/>
        <w:rPr>
          <w:spacing w:val="-3"/>
          <w:sz w:val="24"/>
        </w:rPr>
      </w:pPr>
      <w:r w:rsidRPr="00DD417D">
        <w:rPr>
          <w:b/>
          <w:bCs/>
          <w:spacing w:val="-3"/>
          <w:sz w:val="24"/>
        </w:rPr>
        <w:t>Escalation phase</w:t>
      </w:r>
      <w:r w:rsidRPr="00DD417D">
        <w:rPr>
          <w:spacing w:val="-3"/>
          <w:sz w:val="24"/>
        </w:rPr>
        <w:t xml:space="preserve"> occurs when critical care units, systems and regions are operating above expected winter pressures with the majority of units declaring </w:t>
      </w:r>
      <w:hyperlink r:id="rId21" w:history="1">
        <w:r w:rsidRPr="00CF64D5">
          <w:rPr>
            <w:rStyle w:val="Hyperlink"/>
            <w:spacing w:val="-3"/>
            <w:sz w:val="24"/>
          </w:rPr>
          <w:t>CRITCON 2</w:t>
        </w:r>
      </w:hyperlink>
      <w:r w:rsidRPr="00DD417D">
        <w:rPr>
          <w:spacing w:val="-3"/>
          <w:sz w:val="24"/>
        </w:rPr>
        <w:t xml:space="preserve"> and an increasing number of units declaring </w:t>
      </w:r>
      <w:hyperlink r:id="rId22" w:history="1">
        <w:r w:rsidRPr="00CF64D5">
          <w:rPr>
            <w:rStyle w:val="Hyperlink"/>
            <w:spacing w:val="-3"/>
            <w:sz w:val="24"/>
          </w:rPr>
          <w:t>CRITCON 3</w:t>
        </w:r>
      </w:hyperlink>
    </w:p>
    <w:p w14:paraId="2A4597F6" w14:textId="20355DE2" w:rsidR="005C6A0B" w:rsidRDefault="00A84050" w:rsidP="00EE3FE3">
      <w:pPr>
        <w:pStyle w:val="ListParagraph"/>
        <w:numPr>
          <w:ilvl w:val="0"/>
          <w:numId w:val="10"/>
        </w:numPr>
        <w:spacing w:after="120" w:line="276" w:lineRule="auto"/>
        <w:ind w:left="993" w:right="99" w:hanging="426"/>
        <w:rPr>
          <w:spacing w:val="-3"/>
          <w:sz w:val="24"/>
        </w:rPr>
      </w:pPr>
      <w:r w:rsidRPr="00DD417D">
        <w:rPr>
          <w:b/>
          <w:bCs/>
          <w:spacing w:val="-3"/>
          <w:sz w:val="24"/>
        </w:rPr>
        <w:t>Heightened escalation phase</w:t>
      </w:r>
      <w:r w:rsidRPr="00DD417D">
        <w:rPr>
          <w:spacing w:val="-3"/>
          <w:sz w:val="24"/>
        </w:rPr>
        <w:t xml:space="preserve"> occurs when critical care units, systems and </w:t>
      </w:r>
      <w:r w:rsidRPr="00DD417D">
        <w:rPr>
          <w:spacing w:val="-3"/>
          <w:sz w:val="24"/>
        </w:rPr>
        <w:lastRenderedPageBreak/>
        <w:t xml:space="preserve">regions are operating under severe pressures, and multiple capacity transfers are required within and between adjacent regions each day. There are an increasing number of tertiary units reporting </w:t>
      </w:r>
      <w:hyperlink r:id="rId23" w:history="1">
        <w:r w:rsidRPr="00CF64D5">
          <w:rPr>
            <w:rStyle w:val="Hyperlink"/>
            <w:spacing w:val="-3"/>
            <w:sz w:val="24"/>
          </w:rPr>
          <w:t>CRITCON 3.</w:t>
        </w:r>
      </w:hyperlink>
    </w:p>
    <w:p w14:paraId="79C52771" w14:textId="77777777" w:rsidR="00205CAB" w:rsidRPr="009A68F7" w:rsidRDefault="00205CAB" w:rsidP="007E7D70">
      <w:pPr>
        <w:pStyle w:val="BodyText"/>
        <w:spacing w:line="312" w:lineRule="auto"/>
        <w:ind w:left="567"/>
        <w:rPr>
          <w:spacing w:val="-10"/>
        </w:rPr>
      </w:pPr>
    </w:p>
    <w:p w14:paraId="0767E6B0" w14:textId="7AE22BBE" w:rsidR="006B6B8A" w:rsidRDefault="007B5333" w:rsidP="00EE3FE3">
      <w:pPr>
        <w:pStyle w:val="BodyText"/>
        <w:numPr>
          <w:ilvl w:val="1"/>
          <w:numId w:val="20"/>
        </w:numPr>
        <w:spacing w:line="312" w:lineRule="auto"/>
        <w:ind w:left="567" w:hanging="567"/>
        <w:rPr>
          <w:spacing w:val="-10"/>
        </w:rPr>
      </w:pPr>
      <w:r>
        <w:rPr>
          <w:spacing w:val="-10"/>
        </w:rPr>
        <w:t>Table 2</w:t>
      </w:r>
      <w:r w:rsidR="006B6B8A" w:rsidRPr="00D34477">
        <w:rPr>
          <w:spacing w:val="-10"/>
        </w:rPr>
        <w:t xml:space="preserve"> sets out </w:t>
      </w:r>
      <w:r w:rsidR="008537CC">
        <w:rPr>
          <w:spacing w:val="-10"/>
        </w:rPr>
        <w:t xml:space="preserve">more detailed </w:t>
      </w:r>
      <w:r w:rsidR="006B6B8A" w:rsidRPr="00D34477">
        <w:rPr>
          <w:spacing w:val="-10"/>
        </w:rPr>
        <w:t xml:space="preserve">threshold definitions and key actions to be taken at a local, regional, or national level to support escalation in response to surges in demand. </w:t>
      </w:r>
    </w:p>
    <w:p w14:paraId="62B6A4C9" w14:textId="77777777" w:rsidR="007E7D70" w:rsidRDefault="007E7D70" w:rsidP="007E7D70">
      <w:pPr>
        <w:pStyle w:val="BodyText"/>
        <w:spacing w:line="312" w:lineRule="auto"/>
        <w:ind w:left="567"/>
        <w:rPr>
          <w:spacing w:val="-10"/>
        </w:rPr>
      </w:pPr>
    </w:p>
    <w:p w14:paraId="41FD5073" w14:textId="24421035" w:rsidR="0057356C" w:rsidRDefault="0057356C" w:rsidP="00EE3FE3">
      <w:pPr>
        <w:pStyle w:val="BodyText"/>
        <w:numPr>
          <w:ilvl w:val="1"/>
          <w:numId w:val="20"/>
        </w:numPr>
        <w:spacing w:line="312" w:lineRule="auto"/>
        <w:ind w:left="567" w:hanging="567"/>
        <w:rPr>
          <w:spacing w:val="-10"/>
        </w:rPr>
      </w:pPr>
      <w:r>
        <w:rPr>
          <w:spacing w:val="-10"/>
        </w:rPr>
        <w:t>For</w:t>
      </w:r>
      <w:r w:rsidR="00657023">
        <w:rPr>
          <w:spacing w:val="-10"/>
        </w:rPr>
        <w:t xml:space="preserve"> consisten</w:t>
      </w:r>
      <w:r w:rsidR="00415C1B">
        <w:rPr>
          <w:spacing w:val="-10"/>
        </w:rPr>
        <w:t>cy</w:t>
      </w:r>
      <w:r w:rsidR="00657023">
        <w:rPr>
          <w:spacing w:val="-10"/>
        </w:rPr>
        <w:t>,</w:t>
      </w:r>
      <w:r>
        <w:rPr>
          <w:spacing w:val="-10"/>
        </w:rPr>
        <w:t xml:space="preserve"> the following definitions are used:</w:t>
      </w:r>
    </w:p>
    <w:p w14:paraId="121702F0" w14:textId="77777777" w:rsidR="007E7D70" w:rsidRDefault="007E7D70" w:rsidP="007E7D70">
      <w:pPr>
        <w:pStyle w:val="BodyText"/>
        <w:spacing w:line="312" w:lineRule="auto"/>
        <w:rPr>
          <w:spacing w:val="-10"/>
        </w:rPr>
      </w:pPr>
    </w:p>
    <w:p w14:paraId="0145ED43" w14:textId="1A9D881B" w:rsidR="0057356C" w:rsidRPr="00657023" w:rsidRDefault="0057356C" w:rsidP="00EE3FE3">
      <w:pPr>
        <w:numPr>
          <w:ilvl w:val="2"/>
          <w:numId w:val="1"/>
        </w:numPr>
        <w:spacing w:after="120" w:line="276" w:lineRule="auto"/>
        <w:ind w:left="993" w:right="99" w:hanging="448"/>
        <w:rPr>
          <w:b/>
          <w:bCs/>
          <w:spacing w:val="-3"/>
          <w:sz w:val="24"/>
        </w:rPr>
      </w:pPr>
      <w:r w:rsidRPr="0057356C">
        <w:rPr>
          <w:b/>
          <w:bCs/>
          <w:spacing w:val="-3"/>
          <w:sz w:val="24"/>
        </w:rPr>
        <w:t>Baseline bed/funded bed</w:t>
      </w:r>
      <w:r w:rsidR="00657023">
        <w:rPr>
          <w:b/>
          <w:bCs/>
          <w:spacing w:val="-3"/>
          <w:sz w:val="24"/>
        </w:rPr>
        <w:t>:</w:t>
      </w:r>
      <w:r w:rsidRPr="0057356C">
        <w:rPr>
          <w:b/>
          <w:bCs/>
          <w:spacing w:val="-3"/>
          <w:sz w:val="24"/>
        </w:rPr>
        <w:t xml:space="preserve"> </w:t>
      </w:r>
      <w:r w:rsidRPr="0057356C">
        <w:rPr>
          <w:spacing w:val="-3"/>
          <w:sz w:val="24"/>
        </w:rPr>
        <w:t>any Adult Critical Care bed that is recognised in the commissioning arrangement for the Trust</w:t>
      </w:r>
      <w:r w:rsidR="000804D5">
        <w:rPr>
          <w:spacing w:val="-3"/>
          <w:sz w:val="24"/>
        </w:rPr>
        <w:t>.</w:t>
      </w:r>
    </w:p>
    <w:p w14:paraId="506167D0" w14:textId="111C260F" w:rsidR="00657023" w:rsidRPr="00A72F6C" w:rsidRDefault="00657023" w:rsidP="00EE3FE3">
      <w:pPr>
        <w:numPr>
          <w:ilvl w:val="2"/>
          <w:numId w:val="1"/>
        </w:numPr>
        <w:spacing w:after="120" w:line="276" w:lineRule="auto"/>
        <w:ind w:left="993" w:right="99" w:hanging="448"/>
        <w:rPr>
          <w:b/>
          <w:bCs/>
          <w:color w:val="FF0000"/>
          <w:spacing w:val="-3"/>
          <w:sz w:val="24"/>
        </w:rPr>
      </w:pPr>
      <w:r>
        <w:rPr>
          <w:b/>
          <w:bCs/>
          <w:spacing w:val="-3"/>
          <w:sz w:val="24"/>
        </w:rPr>
        <w:t xml:space="preserve">Surge bed: </w:t>
      </w:r>
      <w:r>
        <w:rPr>
          <w:spacing w:val="-3"/>
          <w:sz w:val="24"/>
        </w:rPr>
        <w:t>any Adult Critical Care bed that is not usually recognised in the commissioning arrangement for the Trust but is opened to meet increased demand</w:t>
      </w:r>
      <w:r w:rsidR="000804D5">
        <w:rPr>
          <w:spacing w:val="-3"/>
          <w:sz w:val="24"/>
        </w:rPr>
        <w:t>.</w:t>
      </w:r>
    </w:p>
    <w:p w14:paraId="1D96CEEA" w14:textId="0129F629" w:rsidR="0057356C" w:rsidRPr="00B456C9" w:rsidRDefault="0057356C" w:rsidP="00EE3FE3">
      <w:pPr>
        <w:numPr>
          <w:ilvl w:val="2"/>
          <w:numId w:val="1"/>
        </w:numPr>
        <w:spacing w:after="120" w:line="276" w:lineRule="auto"/>
        <w:ind w:left="993" w:right="99" w:hanging="448"/>
        <w:rPr>
          <w:b/>
          <w:bCs/>
          <w:spacing w:val="-3"/>
          <w:sz w:val="24"/>
        </w:rPr>
      </w:pPr>
      <w:r w:rsidRPr="00B456C9">
        <w:rPr>
          <w:b/>
          <w:bCs/>
          <w:spacing w:val="-3"/>
          <w:sz w:val="24"/>
        </w:rPr>
        <w:t>Open</w:t>
      </w:r>
      <w:r w:rsidR="00B456C9" w:rsidRPr="00B456C9">
        <w:rPr>
          <w:b/>
          <w:bCs/>
          <w:spacing w:val="-3"/>
          <w:sz w:val="24"/>
        </w:rPr>
        <w:t xml:space="preserve"> / Available bed</w:t>
      </w:r>
      <w:r w:rsidR="00657023" w:rsidRPr="00B456C9">
        <w:rPr>
          <w:b/>
          <w:bCs/>
          <w:spacing w:val="-3"/>
          <w:sz w:val="24"/>
        </w:rPr>
        <w:t xml:space="preserve">: </w:t>
      </w:r>
      <w:r w:rsidRPr="00B456C9">
        <w:rPr>
          <w:spacing w:val="-3"/>
          <w:sz w:val="24"/>
        </w:rPr>
        <w:t xml:space="preserve">any Adult Critical care bed that is staffed and </w:t>
      </w:r>
      <w:r w:rsidR="00657023" w:rsidRPr="00B456C9">
        <w:rPr>
          <w:spacing w:val="-3"/>
          <w:sz w:val="24"/>
        </w:rPr>
        <w:t>able to accept a patient</w:t>
      </w:r>
      <w:r w:rsidR="000804D5" w:rsidRPr="00B456C9">
        <w:rPr>
          <w:b/>
          <w:bCs/>
          <w:spacing w:val="-3"/>
          <w:sz w:val="24"/>
        </w:rPr>
        <w:t>.</w:t>
      </w:r>
    </w:p>
    <w:p w14:paraId="572D95E0" w14:textId="6D760398" w:rsidR="00D43EBD" w:rsidRDefault="00D43EBD" w:rsidP="00EE3FE3">
      <w:pPr>
        <w:pStyle w:val="BodyText"/>
        <w:numPr>
          <w:ilvl w:val="1"/>
          <w:numId w:val="20"/>
        </w:numPr>
        <w:spacing w:line="312" w:lineRule="auto"/>
        <w:ind w:left="567" w:hanging="567"/>
        <w:rPr>
          <w:spacing w:val="-10"/>
        </w:rPr>
      </w:pPr>
      <w:r w:rsidRPr="00D34477">
        <w:rPr>
          <w:spacing w:val="-10"/>
        </w:rPr>
        <w:t xml:space="preserve">The number of overall beds is defined by those open i.e. staffed and available on the day of reporting. </w:t>
      </w:r>
      <w:r w:rsidRPr="00BE3B6A">
        <w:rPr>
          <w:spacing w:val="-10"/>
        </w:rPr>
        <w:t>It excludes those beds ring-fenced for elective surgery</w:t>
      </w:r>
      <w:r w:rsidRPr="00D34477">
        <w:rPr>
          <w:spacing w:val="-10"/>
        </w:rPr>
        <w:t xml:space="preserve"> (green pathways) and those ring-fenced for specialised services (where these are in place).  It is therefore expected that the denominator will change over time. </w:t>
      </w:r>
    </w:p>
    <w:p w14:paraId="18BB0D07" w14:textId="77777777" w:rsidR="007E7D70" w:rsidRPr="00D34477" w:rsidRDefault="007E7D70" w:rsidP="007E7D70">
      <w:pPr>
        <w:pStyle w:val="BodyText"/>
        <w:spacing w:line="312" w:lineRule="auto"/>
        <w:ind w:left="567"/>
        <w:rPr>
          <w:spacing w:val="-10"/>
        </w:rPr>
      </w:pPr>
    </w:p>
    <w:p w14:paraId="0ADB94FC" w14:textId="3692A235" w:rsidR="00D43EBD" w:rsidRDefault="00D43EBD" w:rsidP="00EE3FE3">
      <w:pPr>
        <w:pStyle w:val="BodyText"/>
        <w:numPr>
          <w:ilvl w:val="1"/>
          <w:numId w:val="20"/>
        </w:numPr>
        <w:spacing w:line="312" w:lineRule="auto"/>
        <w:ind w:left="567" w:hanging="567"/>
        <w:rPr>
          <w:spacing w:val="-10"/>
        </w:rPr>
      </w:pPr>
      <w:r w:rsidRPr="00D34477">
        <w:rPr>
          <w:spacing w:val="-10"/>
        </w:rPr>
        <w:t xml:space="preserve">At times of </w:t>
      </w:r>
      <w:r>
        <w:rPr>
          <w:spacing w:val="-10"/>
        </w:rPr>
        <w:t>very high</w:t>
      </w:r>
      <w:r w:rsidRPr="00D34477">
        <w:rPr>
          <w:spacing w:val="-10"/>
        </w:rPr>
        <w:t xml:space="preserve"> demand, consideration should be given </w:t>
      </w:r>
      <w:r w:rsidR="008537CC">
        <w:rPr>
          <w:spacing w:val="-10"/>
        </w:rPr>
        <w:t xml:space="preserve">as to </w:t>
      </w:r>
      <w:r w:rsidR="00415C1B">
        <w:rPr>
          <w:spacing w:val="-10"/>
        </w:rPr>
        <w:t xml:space="preserve">whether some beds should be ring-fenced to protect P1 and P2 surgical activity, in order to protect the interests of patients who have life-threatening conditions not related to the cause of surge. </w:t>
      </w:r>
      <w:r w:rsidR="00415C1B" w:rsidRPr="00DD417D">
        <w:rPr>
          <w:spacing w:val="-10"/>
        </w:rPr>
        <w:t xml:space="preserve"> </w:t>
      </w:r>
    </w:p>
    <w:p w14:paraId="4EF7E234" w14:textId="77777777" w:rsidR="007E7D70" w:rsidRPr="00DD417D" w:rsidRDefault="007E7D70" w:rsidP="007E7D70">
      <w:pPr>
        <w:pStyle w:val="BodyText"/>
        <w:spacing w:line="312" w:lineRule="auto"/>
        <w:rPr>
          <w:spacing w:val="-10"/>
        </w:rPr>
      </w:pPr>
    </w:p>
    <w:p w14:paraId="363E4D25" w14:textId="7419C611" w:rsidR="00C70B5D" w:rsidRDefault="00C70B5D" w:rsidP="00EE3FE3">
      <w:pPr>
        <w:pStyle w:val="BodyText"/>
        <w:numPr>
          <w:ilvl w:val="1"/>
          <w:numId w:val="20"/>
        </w:numPr>
        <w:spacing w:line="312" w:lineRule="auto"/>
        <w:ind w:left="567" w:hanging="567"/>
        <w:rPr>
          <w:spacing w:val="-10"/>
        </w:rPr>
      </w:pPr>
      <w:r w:rsidRPr="00D34477">
        <w:rPr>
          <w:spacing w:val="-10"/>
        </w:rPr>
        <w:t xml:space="preserve">The impact and decisions set out in the escalation levels </w:t>
      </w:r>
      <w:r>
        <w:rPr>
          <w:spacing w:val="-10"/>
        </w:rPr>
        <w:t xml:space="preserve">below aim to </w:t>
      </w:r>
      <w:r w:rsidRPr="00D34477">
        <w:rPr>
          <w:spacing w:val="-10"/>
        </w:rPr>
        <w:t>ensur</w:t>
      </w:r>
      <w:r>
        <w:rPr>
          <w:spacing w:val="-10"/>
        </w:rPr>
        <w:t>e</w:t>
      </w:r>
      <w:r w:rsidRPr="00D34477">
        <w:rPr>
          <w:spacing w:val="-10"/>
        </w:rPr>
        <w:t xml:space="preserve"> the continued provision of</w:t>
      </w:r>
      <w:r w:rsidR="00415C1B">
        <w:rPr>
          <w:spacing w:val="-10"/>
        </w:rPr>
        <w:t xml:space="preserve"> treatment for</w:t>
      </w:r>
      <w:r w:rsidRPr="00D34477">
        <w:rPr>
          <w:spacing w:val="-10"/>
        </w:rPr>
        <w:t xml:space="preserve"> life limiting/threatening </w:t>
      </w:r>
      <w:r w:rsidR="00415C1B">
        <w:rPr>
          <w:spacing w:val="-10"/>
        </w:rPr>
        <w:t xml:space="preserve">conditions </w:t>
      </w:r>
      <w:r w:rsidR="007B5333">
        <w:rPr>
          <w:spacing w:val="-10"/>
        </w:rPr>
        <w:t>(including</w:t>
      </w:r>
      <w:r w:rsidR="00205BD5">
        <w:rPr>
          <w:spacing w:val="-10"/>
        </w:rPr>
        <w:t xml:space="preserve"> </w:t>
      </w:r>
      <w:r w:rsidR="00415C1B">
        <w:rPr>
          <w:spacing w:val="-10"/>
        </w:rPr>
        <w:t>P1 and P2)</w:t>
      </w:r>
      <w:r w:rsidRPr="00D34477">
        <w:rPr>
          <w:spacing w:val="-10"/>
        </w:rPr>
        <w:t xml:space="preserve"> for as long as possible. </w:t>
      </w:r>
    </w:p>
    <w:p w14:paraId="0FB950A9" w14:textId="77777777" w:rsidR="00E5651F" w:rsidRDefault="00E5651F" w:rsidP="00E5651F">
      <w:pPr>
        <w:pStyle w:val="ListParagraph"/>
        <w:rPr>
          <w:spacing w:val="-10"/>
        </w:rPr>
      </w:pPr>
    </w:p>
    <w:p w14:paraId="3DC37DAE" w14:textId="3A0CA41D" w:rsidR="00E5651F" w:rsidRPr="00D34477" w:rsidRDefault="00540B15" w:rsidP="00EE3FE3">
      <w:pPr>
        <w:pStyle w:val="BodyText"/>
        <w:numPr>
          <w:ilvl w:val="1"/>
          <w:numId w:val="20"/>
        </w:numPr>
        <w:spacing w:line="312" w:lineRule="auto"/>
        <w:ind w:left="567" w:hanging="567"/>
        <w:rPr>
          <w:spacing w:val="-10"/>
        </w:rPr>
      </w:pPr>
      <w:r>
        <w:rPr>
          <w:spacing w:val="-10"/>
        </w:rPr>
        <w:t xml:space="preserve">The nominal commissioned bed base in each unit / network is described in section </w:t>
      </w:r>
      <w:proofErr w:type="gramStart"/>
      <w:r>
        <w:rPr>
          <w:spacing w:val="-10"/>
        </w:rPr>
        <w:t>11</w:t>
      </w:r>
      <w:proofErr w:type="gramEnd"/>
    </w:p>
    <w:p w14:paraId="0B278EA1" w14:textId="77777777" w:rsidR="00D43EBD" w:rsidRDefault="00D43EBD" w:rsidP="007F5B3B">
      <w:pPr>
        <w:pStyle w:val="ListParagraph"/>
        <w:tabs>
          <w:tab w:val="left" w:pos="1379"/>
          <w:tab w:val="left" w:pos="1380"/>
        </w:tabs>
        <w:spacing w:after="120" w:line="245" w:lineRule="auto"/>
        <w:ind w:left="1424" w:right="1077"/>
        <w:rPr>
          <w:spacing w:val="-10"/>
          <w:sz w:val="24"/>
          <w:szCs w:val="24"/>
        </w:rPr>
      </w:pPr>
    </w:p>
    <w:p w14:paraId="6135003C" w14:textId="25FCD1D4" w:rsidR="007F5B3B" w:rsidRPr="007F5B3B" w:rsidRDefault="007F5B3B" w:rsidP="005A0DEF">
      <w:pPr>
        <w:tabs>
          <w:tab w:val="left" w:pos="1379"/>
          <w:tab w:val="left" w:pos="1380"/>
        </w:tabs>
        <w:spacing w:after="120" w:line="245" w:lineRule="auto"/>
        <w:ind w:right="1077"/>
        <w:rPr>
          <w:spacing w:val="-10"/>
          <w:sz w:val="24"/>
          <w:szCs w:val="24"/>
        </w:rPr>
        <w:sectPr w:rsidR="007F5B3B" w:rsidRPr="007F5B3B" w:rsidSect="00AA73BE">
          <w:pgSz w:w="11910" w:h="16840"/>
          <w:pgMar w:top="1440" w:right="1440" w:bottom="1135" w:left="1440" w:header="567" w:footer="8" w:gutter="0"/>
          <w:cols w:space="720"/>
          <w:docGrid w:linePitch="299"/>
        </w:sectPr>
      </w:pPr>
    </w:p>
    <w:p w14:paraId="1A9BE7A5" w14:textId="17C43E0C" w:rsidR="0013021E" w:rsidRPr="0013021E" w:rsidRDefault="008537CC" w:rsidP="00CC78CC">
      <w:pPr>
        <w:pStyle w:val="Caption"/>
        <w:ind w:firstLine="284"/>
        <w:rPr>
          <w:spacing w:val="-10"/>
          <w:sz w:val="24"/>
          <w:szCs w:val="24"/>
        </w:rPr>
      </w:pPr>
      <w:r w:rsidRPr="00363E09">
        <w:rPr>
          <w:b/>
        </w:rPr>
        <w:lastRenderedPageBreak/>
        <w:t xml:space="preserve">Table </w:t>
      </w:r>
      <w:r w:rsidRPr="00363E09">
        <w:rPr>
          <w:b/>
        </w:rPr>
        <w:fldChar w:fldCharType="begin"/>
      </w:r>
      <w:r w:rsidRPr="00363E09">
        <w:rPr>
          <w:b/>
        </w:rPr>
        <w:instrText xml:space="preserve"> SEQ Table \* ARABIC </w:instrText>
      </w:r>
      <w:r w:rsidRPr="00363E09">
        <w:rPr>
          <w:b/>
        </w:rPr>
        <w:fldChar w:fldCharType="separate"/>
      </w:r>
      <w:r w:rsidRPr="00363E09">
        <w:rPr>
          <w:b/>
          <w:noProof/>
        </w:rPr>
        <w:t>2</w:t>
      </w:r>
      <w:r w:rsidRPr="00363E09">
        <w:rPr>
          <w:b/>
        </w:rPr>
        <w:fldChar w:fldCharType="end"/>
      </w:r>
      <w:r w:rsidRPr="00363E09">
        <w:rPr>
          <w:b/>
        </w:rPr>
        <w:t>:  Surge thresholds and action</w:t>
      </w:r>
    </w:p>
    <w:p w14:paraId="1AEDE391" w14:textId="77777777" w:rsidR="00C603F5" w:rsidRPr="00C603F5" w:rsidRDefault="00C603F5" w:rsidP="00487662">
      <w:pPr>
        <w:tabs>
          <w:tab w:val="left" w:pos="1379"/>
          <w:tab w:val="left" w:pos="1380"/>
        </w:tabs>
        <w:spacing w:after="120"/>
        <w:rPr>
          <w:sz w:val="24"/>
          <w:szCs w:val="24"/>
        </w:rPr>
      </w:pPr>
    </w:p>
    <w:tbl>
      <w:tblPr>
        <w:tblStyle w:val="NHSTableBlue"/>
        <w:tblpPr w:leftFromText="180" w:rightFromText="180" w:vertAnchor="text" w:horzAnchor="page" w:tblpX="611" w:tblpY="188"/>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341"/>
        <w:gridCol w:w="6048"/>
        <w:gridCol w:w="5786"/>
      </w:tblGrid>
      <w:tr w:rsidR="00CC78CC" w:rsidRPr="00CC78CC" w14:paraId="34606B0B" w14:textId="77777777" w:rsidTr="00852BAA">
        <w:trPr>
          <w:cnfStyle w:val="100000000000" w:firstRow="1" w:lastRow="0" w:firstColumn="0" w:lastColumn="0" w:oddVBand="0" w:evenVBand="0" w:oddHBand="0" w:evenHBand="0" w:firstRowFirstColumn="0" w:firstRowLastColumn="0" w:lastRowFirstColumn="0" w:lastRowLastColumn="0"/>
          <w:cantSplit/>
          <w:trHeight w:val="586"/>
        </w:trPr>
        <w:tc>
          <w:tcPr>
            <w:tcW w:w="453" w:type="pct"/>
            <w:tcBorders>
              <w:top w:val="single" w:sz="4" w:space="0" w:color="auto"/>
              <w:left w:val="single" w:sz="4" w:space="0" w:color="auto"/>
              <w:bottom w:val="single" w:sz="4" w:space="0" w:color="auto"/>
              <w:right w:val="single" w:sz="4" w:space="0" w:color="auto"/>
            </w:tcBorders>
            <w:shd w:val="clear" w:color="auto" w:fill="0070C0"/>
          </w:tcPr>
          <w:p w14:paraId="31E38AC9" w14:textId="77777777" w:rsidR="00715F8D" w:rsidRPr="00CC78CC" w:rsidRDefault="00715F8D" w:rsidP="00976B9A">
            <w:pPr>
              <w:pStyle w:val="TableParagraph"/>
              <w:spacing w:after="120"/>
              <w:ind w:left="0"/>
              <w:rPr>
                <w:bCs/>
                <w:color w:val="FFFFFF" w:themeColor="background1"/>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70C0"/>
          </w:tcPr>
          <w:p w14:paraId="01500E20" w14:textId="77777777" w:rsidR="00715F8D" w:rsidRPr="00CC78CC" w:rsidRDefault="00715F8D" w:rsidP="00852BAA">
            <w:pPr>
              <w:pStyle w:val="TableParagraph"/>
              <w:spacing w:after="120"/>
              <w:ind w:left="29" w:right="257"/>
              <w:rPr>
                <w:bCs/>
                <w:color w:val="FFFFFF" w:themeColor="background1"/>
                <w:sz w:val="20"/>
                <w:szCs w:val="20"/>
              </w:rPr>
            </w:pPr>
            <w:r w:rsidRPr="00CC78CC">
              <w:rPr>
                <w:bCs/>
                <w:color w:val="FFFFFF" w:themeColor="background1"/>
                <w:sz w:val="20"/>
                <w:szCs w:val="20"/>
              </w:rPr>
              <w:t>CRITCON &amp; OPEL</w:t>
            </w:r>
          </w:p>
        </w:tc>
        <w:tc>
          <w:tcPr>
            <w:tcW w:w="1940" w:type="pct"/>
            <w:tcBorders>
              <w:top w:val="single" w:sz="4" w:space="0" w:color="auto"/>
              <w:left w:val="single" w:sz="4" w:space="0" w:color="auto"/>
              <w:bottom w:val="single" w:sz="4" w:space="0" w:color="auto"/>
              <w:right w:val="single" w:sz="4" w:space="0" w:color="auto"/>
            </w:tcBorders>
            <w:shd w:val="clear" w:color="auto" w:fill="0070C0"/>
          </w:tcPr>
          <w:p w14:paraId="773A9193" w14:textId="77777777" w:rsidR="00715F8D" w:rsidRPr="00CC78CC" w:rsidRDefault="00715F8D" w:rsidP="00852BAA">
            <w:pPr>
              <w:pStyle w:val="TableParagraph"/>
              <w:spacing w:after="120"/>
              <w:ind w:left="242"/>
              <w:rPr>
                <w:bCs/>
                <w:color w:val="FFFFFF" w:themeColor="background1"/>
                <w:sz w:val="20"/>
                <w:szCs w:val="20"/>
              </w:rPr>
            </w:pPr>
            <w:r w:rsidRPr="00CC78CC">
              <w:rPr>
                <w:bCs/>
                <w:color w:val="FFFFFF" w:themeColor="background1"/>
                <w:sz w:val="20"/>
                <w:szCs w:val="20"/>
              </w:rPr>
              <w:t>Descriptor</w:t>
            </w:r>
          </w:p>
        </w:tc>
        <w:tc>
          <w:tcPr>
            <w:tcW w:w="1857" w:type="pct"/>
            <w:tcBorders>
              <w:top w:val="single" w:sz="4" w:space="0" w:color="auto"/>
              <w:left w:val="single" w:sz="4" w:space="0" w:color="auto"/>
              <w:bottom w:val="single" w:sz="4" w:space="0" w:color="auto"/>
              <w:right w:val="single" w:sz="4" w:space="0" w:color="auto"/>
            </w:tcBorders>
            <w:shd w:val="clear" w:color="auto" w:fill="0070C0"/>
          </w:tcPr>
          <w:p w14:paraId="1CEFBE33" w14:textId="77777777" w:rsidR="00715F8D" w:rsidRPr="00CC78CC" w:rsidRDefault="00715F8D" w:rsidP="00976B9A">
            <w:pPr>
              <w:pStyle w:val="TableParagraph"/>
              <w:spacing w:after="120"/>
              <w:ind w:left="106"/>
              <w:rPr>
                <w:bCs/>
                <w:color w:val="FFFFFF" w:themeColor="background1"/>
                <w:sz w:val="20"/>
                <w:szCs w:val="20"/>
                <w:highlight w:val="yellow"/>
              </w:rPr>
            </w:pPr>
            <w:r w:rsidRPr="00CC78CC">
              <w:rPr>
                <w:bCs/>
                <w:color w:val="FFFFFF" w:themeColor="background1"/>
                <w:sz w:val="20"/>
                <w:szCs w:val="20"/>
              </w:rPr>
              <w:t>Actions</w:t>
            </w:r>
          </w:p>
        </w:tc>
      </w:tr>
      <w:tr w:rsidR="00F933B4" w:rsidRPr="008C3415" w14:paraId="7BF24D0B" w14:textId="77777777" w:rsidTr="00852BAA">
        <w:trPr>
          <w:cnfStyle w:val="000000100000" w:firstRow="0" w:lastRow="0" w:firstColumn="0" w:lastColumn="0" w:oddVBand="0" w:evenVBand="0" w:oddHBand="1" w:evenHBand="0" w:firstRowFirstColumn="0" w:firstRowLastColumn="0" w:lastRowFirstColumn="0" w:lastRowLastColumn="0"/>
          <w:cantSplit/>
          <w:trHeight w:val="366"/>
        </w:trPr>
        <w:tc>
          <w:tcPr>
            <w:tcW w:w="453" w:type="pct"/>
            <w:tcBorders>
              <w:top w:val="single" w:sz="4" w:space="0" w:color="auto"/>
              <w:left w:val="single" w:sz="4" w:space="0" w:color="auto"/>
              <w:bottom w:val="single" w:sz="4" w:space="0" w:color="auto"/>
              <w:right w:val="single" w:sz="4" w:space="0" w:color="auto"/>
            </w:tcBorders>
          </w:tcPr>
          <w:p w14:paraId="71F74788" w14:textId="77777777" w:rsidR="00715F8D" w:rsidRPr="008C3415" w:rsidRDefault="00715F8D" w:rsidP="00976B9A">
            <w:pPr>
              <w:pStyle w:val="TableParagraph"/>
              <w:spacing w:after="120"/>
              <w:ind w:left="0"/>
              <w:rPr>
                <w:b/>
                <w:sz w:val="20"/>
                <w:szCs w:val="20"/>
              </w:rPr>
            </w:pPr>
            <w:r w:rsidRPr="008C3415">
              <w:rPr>
                <w:b/>
                <w:sz w:val="20"/>
                <w:szCs w:val="20"/>
              </w:rPr>
              <w:t>Pre-surge</w:t>
            </w:r>
          </w:p>
          <w:p w14:paraId="368011A3" w14:textId="77777777" w:rsidR="00715F8D" w:rsidRPr="008C3415" w:rsidRDefault="00715F8D" w:rsidP="00976B9A">
            <w:pPr>
              <w:pStyle w:val="TableParagraph"/>
              <w:spacing w:after="120"/>
              <w:ind w:left="0"/>
              <w:rPr>
                <w:b/>
                <w:sz w:val="20"/>
                <w:szCs w:val="20"/>
              </w:rPr>
            </w:pPr>
            <w:r w:rsidRPr="008C3415">
              <w:rPr>
                <w:b/>
                <w:sz w:val="20"/>
                <w:szCs w:val="20"/>
              </w:rPr>
              <w:t>Sustain</w:t>
            </w:r>
          </w:p>
        </w:tc>
        <w:tc>
          <w:tcPr>
            <w:tcW w:w="751" w:type="pct"/>
            <w:tcBorders>
              <w:top w:val="single" w:sz="4" w:space="0" w:color="auto"/>
              <w:left w:val="single" w:sz="4" w:space="0" w:color="auto"/>
              <w:bottom w:val="single" w:sz="4" w:space="0" w:color="auto"/>
              <w:right w:val="single" w:sz="4" w:space="0" w:color="auto"/>
            </w:tcBorders>
          </w:tcPr>
          <w:p w14:paraId="6A315CF9" w14:textId="77777777" w:rsidR="00715F8D" w:rsidRPr="008C3415" w:rsidRDefault="00715F8D" w:rsidP="00852BAA">
            <w:pPr>
              <w:pStyle w:val="TableParagraph"/>
              <w:spacing w:after="120"/>
              <w:ind w:left="29"/>
              <w:rPr>
                <w:bCs/>
                <w:sz w:val="20"/>
                <w:szCs w:val="20"/>
              </w:rPr>
            </w:pPr>
            <w:r w:rsidRPr="008C3415">
              <w:rPr>
                <w:bCs/>
                <w:sz w:val="20"/>
                <w:szCs w:val="20"/>
              </w:rPr>
              <w:t>Majority of units reporting</w:t>
            </w:r>
          </w:p>
          <w:p w14:paraId="02C8B698" w14:textId="77777777" w:rsidR="00715F8D" w:rsidRPr="008C3415" w:rsidRDefault="00715F8D" w:rsidP="00852BAA">
            <w:pPr>
              <w:pStyle w:val="TableParagraph"/>
              <w:spacing w:after="120"/>
              <w:ind w:left="29"/>
              <w:rPr>
                <w:bCs/>
                <w:sz w:val="20"/>
                <w:szCs w:val="20"/>
              </w:rPr>
            </w:pPr>
            <w:r w:rsidRPr="008C3415">
              <w:rPr>
                <w:bCs/>
                <w:sz w:val="20"/>
                <w:szCs w:val="20"/>
              </w:rPr>
              <w:t>CRITCON 0 to 1</w:t>
            </w:r>
          </w:p>
        </w:tc>
        <w:tc>
          <w:tcPr>
            <w:tcW w:w="1940" w:type="pct"/>
            <w:tcBorders>
              <w:top w:val="single" w:sz="4" w:space="0" w:color="auto"/>
              <w:left w:val="single" w:sz="4" w:space="0" w:color="auto"/>
              <w:bottom w:val="single" w:sz="4" w:space="0" w:color="auto"/>
              <w:right w:val="single" w:sz="4" w:space="0" w:color="auto"/>
            </w:tcBorders>
          </w:tcPr>
          <w:p w14:paraId="69119B8A" w14:textId="77777777" w:rsidR="00715F8D" w:rsidRPr="008C3415" w:rsidRDefault="00715F8D" w:rsidP="00EE3FE3">
            <w:pPr>
              <w:pStyle w:val="TableParagraph"/>
              <w:numPr>
                <w:ilvl w:val="0"/>
                <w:numId w:val="2"/>
              </w:numPr>
              <w:ind w:left="242" w:hanging="164"/>
              <w:rPr>
                <w:b/>
                <w:bCs/>
                <w:sz w:val="20"/>
                <w:szCs w:val="20"/>
              </w:rPr>
            </w:pPr>
            <w:r w:rsidRPr="008C3415">
              <w:rPr>
                <w:b/>
                <w:bCs/>
                <w:sz w:val="20"/>
                <w:szCs w:val="20"/>
              </w:rPr>
              <w:t>&lt;100% of baseline beds occupied and &lt;50% of baseline beds occupied by patients requiring cohorting for any reason</w:t>
            </w:r>
          </w:p>
          <w:p w14:paraId="6388F16C" w14:textId="77777777" w:rsidR="00715F8D" w:rsidRPr="008C3415" w:rsidRDefault="00715F8D" w:rsidP="00EE3FE3">
            <w:pPr>
              <w:pStyle w:val="TableParagraph"/>
              <w:numPr>
                <w:ilvl w:val="0"/>
                <w:numId w:val="2"/>
              </w:numPr>
              <w:ind w:left="242" w:hanging="164"/>
              <w:rPr>
                <w:sz w:val="20"/>
                <w:szCs w:val="20"/>
              </w:rPr>
            </w:pPr>
            <w:r w:rsidRPr="008C3415">
              <w:rPr>
                <w:sz w:val="20"/>
                <w:szCs w:val="20"/>
              </w:rPr>
              <w:t>Treatment available and supply is greater than demand</w:t>
            </w:r>
          </w:p>
          <w:p w14:paraId="17A2A97C" w14:textId="77777777" w:rsidR="00715F8D" w:rsidRPr="008C3415" w:rsidRDefault="00715F8D" w:rsidP="00EE3FE3">
            <w:pPr>
              <w:pStyle w:val="TableParagraph"/>
              <w:numPr>
                <w:ilvl w:val="0"/>
                <w:numId w:val="2"/>
              </w:numPr>
              <w:ind w:left="242" w:hanging="164"/>
              <w:rPr>
                <w:sz w:val="20"/>
                <w:szCs w:val="20"/>
              </w:rPr>
            </w:pPr>
            <w:r w:rsidRPr="008C3415">
              <w:rPr>
                <w:sz w:val="20"/>
                <w:szCs w:val="20"/>
              </w:rPr>
              <w:t>Normal, able to meet all critical care needs, without impact on other services</w:t>
            </w:r>
          </w:p>
          <w:p w14:paraId="564CA714" w14:textId="77777777" w:rsidR="00715F8D" w:rsidRPr="008C3415" w:rsidRDefault="00715F8D" w:rsidP="00EE3FE3">
            <w:pPr>
              <w:pStyle w:val="TableParagraph"/>
              <w:numPr>
                <w:ilvl w:val="0"/>
                <w:numId w:val="2"/>
              </w:numPr>
              <w:ind w:left="242" w:hanging="164"/>
              <w:rPr>
                <w:sz w:val="20"/>
                <w:szCs w:val="20"/>
              </w:rPr>
            </w:pPr>
            <w:r w:rsidRPr="008C3415">
              <w:rPr>
                <w:sz w:val="20"/>
                <w:szCs w:val="20"/>
              </w:rPr>
              <w:t xml:space="preserve">Typical winter levels of </w:t>
            </w:r>
            <w:r>
              <w:rPr>
                <w:sz w:val="20"/>
                <w:szCs w:val="20"/>
              </w:rPr>
              <w:t xml:space="preserve">capacity </w:t>
            </w:r>
            <w:r w:rsidRPr="008C3415">
              <w:rPr>
                <w:sz w:val="20"/>
                <w:szCs w:val="20"/>
              </w:rPr>
              <w:t>transfer and other overflow activity.</w:t>
            </w:r>
          </w:p>
        </w:tc>
        <w:tc>
          <w:tcPr>
            <w:tcW w:w="1857" w:type="pct"/>
            <w:tcBorders>
              <w:top w:val="single" w:sz="4" w:space="0" w:color="auto"/>
              <w:left w:val="single" w:sz="4" w:space="0" w:color="auto"/>
              <w:bottom w:val="single" w:sz="4" w:space="0" w:color="auto"/>
              <w:right w:val="single" w:sz="4" w:space="0" w:color="auto"/>
            </w:tcBorders>
          </w:tcPr>
          <w:p w14:paraId="55B28A79" w14:textId="77777777" w:rsidR="00715F8D" w:rsidRPr="008C3415" w:rsidRDefault="00715F8D" w:rsidP="00976B9A">
            <w:pPr>
              <w:pStyle w:val="TableParagraph"/>
              <w:spacing w:after="120"/>
              <w:ind w:left="108"/>
              <w:rPr>
                <w:sz w:val="20"/>
                <w:szCs w:val="20"/>
                <w:u w:val="single"/>
              </w:rPr>
            </w:pPr>
            <w:r w:rsidRPr="008C3415">
              <w:rPr>
                <w:sz w:val="20"/>
                <w:szCs w:val="20"/>
                <w:u w:val="single"/>
              </w:rPr>
              <w:t>System and regional action</w:t>
            </w:r>
          </w:p>
          <w:p w14:paraId="3D77267D"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None except for usual monitoring via ODNs</w:t>
            </w:r>
          </w:p>
          <w:p w14:paraId="1F0C5DC8" w14:textId="77777777" w:rsidR="00715F8D" w:rsidRPr="008C3415" w:rsidRDefault="00715F8D" w:rsidP="00EE3FE3">
            <w:pPr>
              <w:pStyle w:val="TableParagraph"/>
              <w:numPr>
                <w:ilvl w:val="0"/>
                <w:numId w:val="2"/>
              </w:numPr>
              <w:ind w:left="272" w:hanging="164"/>
              <w:rPr>
                <w:sz w:val="20"/>
                <w:szCs w:val="20"/>
                <w:u w:val="single"/>
              </w:rPr>
            </w:pPr>
            <w:r w:rsidRPr="008C3415">
              <w:rPr>
                <w:sz w:val="20"/>
                <w:szCs w:val="20"/>
              </w:rPr>
              <w:t>ODNs must ensure DOS is updated twice daily by Trusts within Network and region</w:t>
            </w:r>
          </w:p>
          <w:p w14:paraId="3876895D" w14:textId="77777777" w:rsidR="00715F8D" w:rsidRPr="008C3415" w:rsidRDefault="00715F8D" w:rsidP="00976B9A">
            <w:pPr>
              <w:pStyle w:val="TableParagraph"/>
              <w:ind w:left="272"/>
              <w:rPr>
                <w:sz w:val="20"/>
                <w:szCs w:val="20"/>
                <w:u w:val="single"/>
              </w:rPr>
            </w:pPr>
            <w:r w:rsidRPr="008C3415">
              <w:rPr>
                <w:sz w:val="20"/>
                <w:szCs w:val="20"/>
                <w:u w:val="single"/>
              </w:rPr>
              <w:t>National action</w:t>
            </w:r>
          </w:p>
          <w:p w14:paraId="3680881B"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No national input required</w:t>
            </w:r>
          </w:p>
        </w:tc>
      </w:tr>
      <w:tr w:rsidR="00F933B4" w:rsidRPr="008C3415" w14:paraId="6A563CBC" w14:textId="77777777" w:rsidTr="00852BAA">
        <w:trPr>
          <w:cantSplit/>
          <w:trHeight w:val="264"/>
        </w:trPr>
        <w:tc>
          <w:tcPr>
            <w:tcW w:w="453" w:type="pct"/>
            <w:tcBorders>
              <w:top w:val="single" w:sz="4" w:space="0" w:color="auto"/>
              <w:bottom w:val="single" w:sz="4" w:space="0" w:color="auto"/>
            </w:tcBorders>
          </w:tcPr>
          <w:p w14:paraId="1982AC04" w14:textId="77777777" w:rsidR="00715F8D" w:rsidRPr="008C3415" w:rsidRDefault="00715F8D" w:rsidP="00976B9A">
            <w:pPr>
              <w:pStyle w:val="TableParagraph"/>
              <w:spacing w:after="120"/>
              <w:ind w:left="0"/>
              <w:rPr>
                <w:b/>
                <w:sz w:val="20"/>
                <w:szCs w:val="20"/>
              </w:rPr>
            </w:pPr>
            <w:r w:rsidRPr="008C3415">
              <w:rPr>
                <w:b/>
                <w:sz w:val="20"/>
                <w:szCs w:val="20"/>
              </w:rPr>
              <w:t>Surge</w:t>
            </w:r>
          </w:p>
          <w:p w14:paraId="450DC33C" w14:textId="77777777" w:rsidR="00715F8D" w:rsidRPr="008C3415" w:rsidRDefault="00715F8D" w:rsidP="00976B9A">
            <w:pPr>
              <w:pStyle w:val="TableParagraph"/>
              <w:spacing w:after="120"/>
              <w:ind w:left="0"/>
              <w:rPr>
                <w:b/>
                <w:sz w:val="20"/>
                <w:szCs w:val="20"/>
              </w:rPr>
            </w:pPr>
            <w:r w:rsidRPr="008C3415">
              <w:rPr>
                <w:b/>
                <w:sz w:val="20"/>
                <w:szCs w:val="20"/>
              </w:rPr>
              <w:t>Monitor</w:t>
            </w:r>
          </w:p>
        </w:tc>
        <w:tc>
          <w:tcPr>
            <w:tcW w:w="751" w:type="pct"/>
            <w:tcBorders>
              <w:top w:val="single" w:sz="4" w:space="0" w:color="auto"/>
              <w:bottom w:val="single" w:sz="4" w:space="0" w:color="auto"/>
            </w:tcBorders>
          </w:tcPr>
          <w:p w14:paraId="3C07ADF6" w14:textId="77777777" w:rsidR="00715F8D" w:rsidRPr="008C3415" w:rsidRDefault="00715F8D" w:rsidP="00852BAA">
            <w:pPr>
              <w:pStyle w:val="TableParagraph"/>
              <w:spacing w:after="120"/>
              <w:ind w:left="29"/>
              <w:rPr>
                <w:bCs/>
                <w:sz w:val="20"/>
                <w:szCs w:val="20"/>
              </w:rPr>
            </w:pPr>
            <w:r w:rsidRPr="008C3415">
              <w:rPr>
                <w:bCs/>
                <w:sz w:val="20"/>
                <w:szCs w:val="20"/>
              </w:rPr>
              <w:t>Majority of units reporting</w:t>
            </w:r>
          </w:p>
          <w:p w14:paraId="0DA9960E" w14:textId="77777777" w:rsidR="00715F8D" w:rsidRPr="008C3415" w:rsidRDefault="00715F8D" w:rsidP="00852BAA">
            <w:pPr>
              <w:pStyle w:val="TableParagraph"/>
              <w:spacing w:after="120"/>
              <w:ind w:left="29"/>
              <w:rPr>
                <w:bCs/>
                <w:sz w:val="20"/>
                <w:szCs w:val="20"/>
              </w:rPr>
            </w:pPr>
            <w:r w:rsidRPr="008C3415">
              <w:rPr>
                <w:bCs/>
                <w:sz w:val="20"/>
                <w:szCs w:val="20"/>
              </w:rPr>
              <w:t>CRITCON 2</w:t>
            </w:r>
          </w:p>
          <w:p w14:paraId="3DEE48D7" w14:textId="77777777" w:rsidR="00715F8D" w:rsidRPr="008C3415" w:rsidRDefault="00715F8D" w:rsidP="00852BAA">
            <w:pPr>
              <w:pStyle w:val="TableParagraph"/>
              <w:spacing w:after="120"/>
              <w:ind w:left="29"/>
              <w:rPr>
                <w:bCs/>
                <w:sz w:val="20"/>
                <w:szCs w:val="20"/>
              </w:rPr>
            </w:pPr>
            <w:r w:rsidRPr="008C3415">
              <w:rPr>
                <w:bCs/>
                <w:sz w:val="20"/>
                <w:szCs w:val="20"/>
              </w:rPr>
              <w:t>OPEL 1</w:t>
            </w:r>
            <w:r w:rsidRPr="008C3415">
              <w:rPr>
                <w:rStyle w:val="FootnoteReference"/>
                <w:bCs/>
                <w:sz w:val="20"/>
                <w:szCs w:val="20"/>
              </w:rPr>
              <w:footnoteReference w:id="5"/>
            </w:r>
          </w:p>
        </w:tc>
        <w:tc>
          <w:tcPr>
            <w:tcW w:w="1940" w:type="pct"/>
            <w:tcBorders>
              <w:top w:val="single" w:sz="4" w:space="0" w:color="auto"/>
              <w:bottom w:val="single" w:sz="4" w:space="0" w:color="auto"/>
            </w:tcBorders>
          </w:tcPr>
          <w:p w14:paraId="796D2AF5" w14:textId="4A4557E1" w:rsidR="00715F8D" w:rsidRPr="008C3415" w:rsidRDefault="00715F8D" w:rsidP="00EE3FE3">
            <w:pPr>
              <w:pStyle w:val="TableParagraph"/>
              <w:numPr>
                <w:ilvl w:val="0"/>
                <w:numId w:val="2"/>
              </w:numPr>
              <w:ind w:left="242" w:hanging="164"/>
              <w:rPr>
                <w:sz w:val="20"/>
                <w:szCs w:val="20"/>
              </w:rPr>
            </w:pPr>
            <w:r w:rsidRPr="008C3415">
              <w:rPr>
                <w:b/>
                <w:bCs/>
                <w:sz w:val="20"/>
                <w:szCs w:val="20"/>
              </w:rPr>
              <w:t>Up to 100% of baseline beds which are staffed and occupied and implications of cohorting impacts on capacity</w:t>
            </w:r>
          </w:p>
          <w:p w14:paraId="6C15E473" w14:textId="77777777" w:rsidR="00715F8D" w:rsidRPr="008C3415" w:rsidRDefault="00715F8D" w:rsidP="00EE3FE3">
            <w:pPr>
              <w:pStyle w:val="TableParagraph"/>
              <w:numPr>
                <w:ilvl w:val="0"/>
                <w:numId w:val="2"/>
              </w:numPr>
              <w:ind w:left="242" w:hanging="164"/>
              <w:rPr>
                <w:sz w:val="20"/>
                <w:szCs w:val="20"/>
              </w:rPr>
            </w:pPr>
            <w:r w:rsidRPr="008C3415">
              <w:rPr>
                <w:sz w:val="20"/>
                <w:szCs w:val="20"/>
              </w:rPr>
              <w:t>Expected</w:t>
            </w:r>
            <w:r w:rsidRPr="008C3415">
              <w:rPr>
                <w:spacing w:val="-2"/>
                <w:sz w:val="20"/>
                <w:szCs w:val="20"/>
              </w:rPr>
              <w:t xml:space="preserve"> </w:t>
            </w:r>
            <w:r w:rsidRPr="008C3415">
              <w:rPr>
                <w:sz w:val="20"/>
                <w:szCs w:val="20"/>
              </w:rPr>
              <w:t>winter</w:t>
            </w:r>
            <w:r w:rsidRPr="008C3415">
              <w:rPr>
                <w:spacing w:val="-2"/>
                <w:sz w:val="20"/>
                <w:szCs w:val="20"/>
              </w:rPr>
              <w:t xml:space="preserve"> </w:t>
            </w:r>
            <w:r w:rsidRPr="008C3415">
              <w:rPr>
                <w:sz w:val="20"/>
                <w:szCs w:val="20"/>
              </w:rPr>
              <w:t>pressures</w:t>
            </w:r>
          </w:p>
          <w:p w14:paraId="1EE9FBE7" w14:textId="77777777" w:rsidR="00715F8D" w:rsidRPr="008C3415" w:rsidRDefault="00715F8D" w:rsidP="00EE3FE3">
            <w:pPr>
              <w:pStyle w:val="TableParagraph"/>
              <w:numPr>
                <w:ilvl w:val="0"/>
                <w:numId w:val="2"/>
              </w:numPr>
              <w:ind w:left="242" w:hanging="164"/>
              <w:rPr>
                <w:sz w:val="20"/>
                <w:szCs w:val="20"/>
              </w:rPr>
            </w:pPr>
            <w:r w:rsidRPr="008C3415">
              <w:rPr>
                <w:spacing w:val="-3"/>
                <w:sz w:val="20"/>
                <w:szCs w:val="20"/>
              </w:rPr>
              <w:t xml:space="preserve">Operating </w:t>
            </w:r>
            <w:r w:rsidRPr="008C3415">
              <w:rPr>
                <w:sz w:val="20"/>
                <w:szCs w:val="20"/>
              </w:rPr>
              <w:t>within</w:t>
            </w:r>
            <w:r w:rsidRPr="008C3415">
              <w:rPr>
                <w:spacing w:val="-3"/>
                <w:sz w:val="20"/>
                <w:szCs w:val="20"/>
              </w:rPr>
              <w:t xml:space="preserve"> regional </w:t>
            </w:r>
            <w:r w:rsidRPr="008C3415">
              <w:rPr>
                <w:sz w:val="20"/>
                <w:szCs w:val="20"/>
              </w:rPr>
              <w:t>winter</w:t>
            </w:r>
            <w:r w:rsidRPr="008C3415">
              <w:rPr>
                <w:spacing w:val="-3"/>
                <w:sz w:val="20"/>
                <w:szCs w:val="20"/>
              </w:rPr>
              <w:t xml:space="preserve"> </w:t>
            </w:r>
            <w:r w:rsidRPr="008C3415">
              <w:rPr>
                <w:sz w:val="20"/>
                <w:szCs w:val="20"/>
              </w:rPr>
              <w:t>planning</w:t>
            </w:r>
            <w:r w:rsidRPr="008C3415">
              <w:rPr>
                <w:spacing w:val="-42"/>
                <w:sz w:val="20"/>
                <w:szCs w:val="20"/>
              </w:rPr>
              <w:t xml:space="preserve">    </w:t>
            </w:r>
            <w:r w:rsidRPr="008C3415">
              <w:rPr>
                <w:sz w:val="20"/>
                <w:szCs w:val="20"/>
              </w:rPr>
              <w:t>assumptions</w:t>
            </w:r>
          </w:p>
          <w:p w14:paraId="11718498" w14:textId="77777777" w:rsidR="00715F8D" w:rsidRPr="008C3415" w:rsidRDefault="00715F8D" w:rsidP="00EE3FE3">
            <w:pPr>
              <w:pStyle w:val="TableParagraph"/>
              <w:numPr>
                <w:ilvl w:val="0"/>
                <w:numId w:val="2"/>
              </w:numPr>
              <w:ind w:left="242" w:hanging="164"/>
              <w:rPr>
                <w:sz w:val="20"/>
                <w:szCs w:val="20"/>
              </w:rPr>
            </w:pPr>
            <w:r w:rsidRPr="008C3415">
              <w:rPr>
                <w:sz w:val="20"/>
                <w:szCs w:val="20"/>
              </w:rPr>
              <w:t>Some usual high dependency unit (L2) beds may be converted to L3</w:t>
            </w:r>
          </w:p>
          <w:p w14:paraId="5E2EF3A1" w14:textId="77777777" w:rsidR="006A1B13" w:rsidRDefault="00715F8D" w:rsidP="00EE3FE3">
            <w:pPr>
              <w:pStyle w:val="TableParagraph"/>
              <w:numPr>
                <w:ilvl w:val="0"/>
                <w:numId w:val="2"/>
              </w:numPr>
              <w:ind w:left="242" w:hanging="164"/>
              <w:rPr>
                <w:sz w:val="20"/>
                <w:szCs w:val="20"/>
              </w:rPr>
            </w:pPr>
            <w:r w:rsidRPr="008C3415">
              <w:rPr>
                <w:sz w:val="20"/>
                <w:szCs w:val="20"/>
              </w:rPr>
              <w:t>Enhanced Care beds are used optimally (if available)</w:t>
            </w:r>
          </w:p>
          <w:p w14:paraId="377F170D" w14:textId="299BEF10" w:rsidR="00715F8D" w:rsidRPr="006A1B13" w:rsidRDefault="00715F8D" w:rsidP="00EE3FE3">
            <w:pPr>
              <w:pStyle w:val="TableParagraph"/>
              <w:numPr>
                <w:ilvl w:val="0"/>
                <w:numId w:val="2"/>
              </w:numPr>
              <w:ind w:left="242" w:hanging="164"/>
              <w:rPr>
                <w:sz w:val="20"/>
                <w:szCs w:val="20"/>
              </w:rPr>
            </w:pPr>
            <w:r w:rsidRPr="006A1B13">
              <w:rPr>
                <w:sz w:val="20"/>
                <w:szCs w:val="20"/>
              </w:rPr>
              <w:t xml:space="preserve">Usual funded critical care capacity full. Some capacity transfers </w:t>
            </w:r>
          </w:p>
        </w:tc>
        <w:tc>
          <w:tcPr>
            <w:tcW w:w="1857" w:type="pct"/>
            <w:tcBorders>
              <w:top w:val="single" w:sz="4" w:space="0" w:color="auto"/>
              <w:bottom w:val="single" w:sz="4" w:space="0" w:color="auto"/>
            </w:tcBorders>
          </w:tcPr>
          <w:p w14:paraId="21A430EE" w14:textId="77777777" w:rsidR="00715F8D" w:rsidRPr="008C3415" w:rsidRDefault="00715F8D" w:rsidP="00976B9A">
            <w:pPr>
              <w:pStyle w:val="TableParagraph"/>
              <w:ind w:left="108"/>
              <w:rPr>
                <w:sz w:val="20"/>
                <w:szCs w:val="20"/>
                <w:u w:val="single"/>
              </w:rPr>
            </w:pPr>
            <w:r w:rsidRPr="008C3415">
              <w:rPr>
                <w:sz w:val="20"/>
                <w:szCs w:val="20"/>
                <w:u w:val="single"/>
              </w:rPr>
              <w:t>Trust actions</w:t>
            </w:r>
          </w:p>
          <w:p w14:paraId="32F5E0D2" w14:textId="77777777" w:rsidR="00715F8D" w:rsidRPr="008C3415" w:rsidRDefault="00715F8D" w:rsidP="00EE3FE3">
            <w:pPr>
              <w:pStyle w:val="TableParagraph"/>
              <w:numPr>
                <w:ilvl w:val="0"/>
                <w:numId w:val="4"/>
              </w:numPr>
              <w:rPr>
                <w:sz w:val="20"/>
                <w:szCs w:val="20"/>
              </w:rPr>
            </w:pPr>
            <w:r w:rsidRPr="008C3415">
              <w:rPr>
                <w:sz w:val="20"/>
                <w:szCs w:val="20"/>
              </w:rPr>
              <w:t>May require redeployment of support staff to enable cohorted capacity and increased acuity of patients and maintain acceptable staffing ratios.</w:t>
            </w:r>
          </w:p>
          <w:p w14:paraId="1DBEA146" w14:textId="77777777" w:rsidR="00715F8D" w:rsidRPr="008C3415" w:rsidRDefault="00715F8D" w:rsidP="00EE3FE3">
            <w:pPr>
              <w:pStyle w:val="TableParagraph"/>
              <w:numPr>
                <w:ilvl w:val="0"/>
                <w:numId w:val="4"/>
              </w:numPr>
              <w:rPr>
                <w:sz w:val="20"/>
                <w:szCs w:val="20"/>
              </w:rPr>
            </w:pPr>
            <w:r w:rsidRPr="008C3415">
              <w:rPr>
                <w:sz w:val="20"/>
                <w:szCs w:val="20"/>
              </w:rPr>
              <w:t>Potential temporary reduction in elective surgery activity</w:t>
            </w:r>
          </w:p>
          <w:p w14:paraId="353DAAC2" w14:textId="77777777" w:rsidR="00715F8D" w:rsidRPr="008C3415" w:rsidRDefault="00715F8D" w:rsidP="00EE3FE3">
            <w:pPr>
              <w:pStyle w:val="TableParagraph"/>
              <w:numPr>
                <w:ilvl w:val="0"/>
                <w:numId w:val="4"/>
              </w:numPr>
              <w:rPr>
                <w:sz w:val="20"/>
                <w:szCs w:val="20"/>
              </w:rPr>
            </w:pPr>
            <w:r w:rsidRPr="008C3415">
              <w:rPr>
                <w:sz w:val="20"/>
                <w:szCs w:val="20"/>
              </w:rPr>
              <w:t>Peri-operative pathways altered for some lower acuity patients to be cared for outside of level 2/3 adult critical care settings</w:t>
            </w:r>
          </w:p>
          <w:p w14:paraId="19CCB463" w14:textId="77777777" w:rsidR="00715F8D" w:rsidRPr="003C7113" w:rsidRDefault="00715F8D" w:rsidP="00976B9A">
            <w:pPr>
              <w:pStyle w:val="TableParagraph"/>
              <w:ind w:left="108"/>
              <w:rPr>
                <w:sz w:val="20"/>
                <w:szCs w:val="20"/>
                <w:u w:val="single"/>
              </w:rPr>
            </w:pPr>
            <w:r w:rsidRPr="008C3415">
              <w:rPr>
                <w:sz w:val="20"/>
                <w:szCs w:val="20"/>
                <w:u w:val="single"/>
              </w:rPr>
              <w:t>System and regional actions</w:t>
            </w:r>
          </w:p>
          <w:p w14:paraId="5D31009F" w14:textId="77777777" w:rsidR="00715F8D" w:rsidRPr="003C7113" w:rsidRDefault="00715F8D" w:rsidP="00EE3FE3">
            <w:pPr>
              <w:pStyle w:val="TableParagraph"/>
              <w:numPr>
                <w:ilvl w:val="0"/>
                <w:numId w:val="2"/>
              </w:numPr>
              <w:ind w:left="272" w:hanging="164"/>
              <w:rPr>
                <w:color w:val="000000" w:themeColor="text1"/>
                <w:sz w:val="20"/>
                <w:szCs w:val="20"/>
              </w:rPr>
            </w:pPr>
            <w:r w:rsidRPr="003C7113">
              <w:rPr>
                <w:sz w:val="20"/>
                <w:szCs w:val="20"/>
              </w:rPr>
              <w:t>UEC monitoring and reporting of capacity and demand within Trusts and systems as part of usual winter pressures process</w:t>
            </w:r>
          </w:p>
          <w:p w14:paraId="3BF1B89E" w14:textId="77777777" w:rsidR="00715F8D" w:rsidRPr="003C7113" w:rsidRDefault="00715F8D" w:rsidP="00EE3FE3">
            <w:pPr>
              <w:pStyle w:val="TableParagraph"/>
              <w:numPr>
                <w:ilvl w:val="0"/>
                <w:numId w:val="2"/>
              </w:numPr>
              <w:ind w:left="272" w:hanging="164"/>
              <w:rPr>
                <w:sz w:val="20"/>
                <w:szCs w:val="20"/>
              </w:rPr>
            </w:pPr>
            <w:r>
              <w:rPr>
                <w:sz w:val="20"/>
                <w:szCs w:val="20"/>
              </w:rPr>
              <w:t>C</w:t>
            </w:r>
            <w:r w:rsidRPr="003C7113">
              <w:rPr>
                <w:sz w:val="20"/>
                <w:szCs w:val="20"/>
              </w:rPr>
              <w:t xml:space="preserve">onsider standing up local Critical Care monitoring and reporting arrangements at regional level such as the Cell structures defined in the </w:t>
            </w:r>
            <w:r>
              <w:rPr>
                <w:sz w:val="20"/>
                <w:szCs w:val="20"/>
              </w:rPr>
              <w:t>NHS Resilience</w:t>
            </w:r>
            <w:r w:rsidRPr="003C7113">
              <w:rPr>
                <w:sz w:val="20"/>
                <w:szCs w:val="20"/>
              </w:rPr>
              <w:t xml:space="preserve"> structure</w:t>
            </w:r>
          </w:p>
          <w:p w14:paraId="43444B9B"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Regions preparing to increase capacity to meet regional surge plan levels</w:t>
            </w:r>
          </w:p>
          <w:p w14:paraId="2E155AB7" w14:textId="77777777" w:rsidR="00715F8D" w:rsidRPr="008C3415" w:rsidRDefault="00715F8D" w:rsidP="00976B9A">
            <w:pPr>
              <w:pStyle w:val="TableParagraph"/>
              <w:rPr>
                <w:sz w:val="20"/>
                <w:szCs w:val="20"/>
                <w:u w:val="single"/>
              </w:rPr>
            </w:pPr>
            <w:r w:rsidRPr="008C3415">
              <w:rPr>
                <w:sz w:val="20"/>
                <w:szCs w:val="20"/>
                <w:u w:val="single"/>
              </w:rPr>
              <w:t>National action</w:t>
            </w:r>
          </w:p>
          <w:p w14:paraId="0445FD6B" w14:textId="77777777" w:rsidR="00715F8D" w:rsidRPr="008C3415" w:rsidRDefault="00715F8D" w:rsidP="00EE3FE3">
            <w:pPr>
              <w:pStyle w:val="TableParagraph"/>
              <w:numPr>
                <w:ilvl w:val="0"/>
                <w:numId w:val="5"/>
              </w:numPr>
              <w:rPr>
                <w:sz w:val="20"/>
                <w:szCs w:val="20"/>
              </w:rPr>
            </w:pPr>
            <w:r w:rsidRPr="008C3415">
              <w:rPr>
                <w:sz w:val="20"/>
                <w:szCs w:val="20"/>
              </w:rPr>
              <w:t>Critical Care Capacity Panel (CCCP) meetings in place</w:t>
            </w:r>
          </w:p>
          <w:p w14:paraId="0C17AAAC" w14:textId="77777777" w:rsidR="00715F8D" w:rsidRPr="008C3415" w:rsidRDefault="00715F8D" w:rsidP="00EE3FE3">
            <w:pPr>
              <w:pStyle w:val="TableParagraph"/>
              <w:numPr>
                <w:ilvl w:val="0"/>
                <w:numId w:val="5"/>
              </w:numPr>
              <w:rPr>
                <w:sz w:val="20"/>
                <w:szCs w:val="20"/>
              </w:rPr>
            </w:pPr>
            <w:r w:rsidRPr="008C3415">
              <w:rPr>
                <w:sz w:val="20"/>
                <w:szCs w:val="20"/>
              </w:rPr>
              <w:t>Monitoring of interdependent services</w:t>
            </w:r>
          </w:p>
          <w:p w14:paraId="02FB2FD3" w14:textId="77777777" w:rsidR="00715F8D" w:rsidRPr="008C3415" w:rsidRDefault="00715F8D" w:rsidP="00EE3FE3">
            <w:pPr>
              <w:pStyle w:val="TableParagraph"/>
              <w:numPr>
                <w:ilvl w:val="0"/>
                <w:numId w:val="5"/>
              </w:numPr>
              <w:rPr>
                <w:sz w:val="20"/>
                <w:szCs w:val="20"/>
              </w:rPr>
            </w:pPr>
            <w:r w:rsidRPr="008C3415">
              <w:rPr>
                <w:sz w:val="20"/>
                <w:szCs w:val="20"/>
              </w:rPr>
              <w:lastRenderedPageBreak/>
              <w:t>Consideration of any cross-region capacity transfer requests</w:t>
            </w:r>
          </w:p>
          <w:p w14:paraId="796672FD" w14:textId="77777777" w:rsidR="00715F8D" w:rsidRPr="008C3415" w:rsidRDefault="00715F8D" w:rsidP="00976B9A">
            <w:pPr>
              <w:pStyle w:val="TableParagraph"/>
              <w:ind w:left="467"/>
              <w:rPr>
                <w:sz w:val="20"/>
                <w:szCs w:val="20"/>
              </w:rPr>
            </w:pPr>
          </w:p>
        </w:tc>
      </w:tr>
      <w:tr w:rsidR="00F933B4" w:rsidRPr="008C3415" w14:paraId="324DA5E7" w14:textId="77777777" w:rsidTr="00852BAA">
        <w:trPr>
          <w:cnfStyle w:val="000000100000" w:firstRow="0" w:lastRow="0" w:firstColumn="0" w:lastColumn="0" w:oddVBand="0" w:evenVBand="0" w:oddHBand="1" w:evenHBand="0" w:firstRowFirstColumn="0" w:firstRowLastColumn="0" w:lastRowFirstColumn="0" w:lastRowLastColumn="0"/>
          <w:cantSplit/>
          <w:trHeight w:val="2815"/>
        </w:trPr>
        <w:tc>
          <w:tcPr>
            <w:tcW w:w="453" w:type="pct"/>
            <w:tcBorders>
              <w:top w:val="single" w:sz="4" w:space="0" w:color="auto"/>
              <w:left w:val="single" w:sz="4" w:space="0" w:color="auto"/>
              <w:bottom w:val="single" w:sz="4" w:space="0" w:color="auto"/>
              <w:right w:val="single" w:sz="4" w:space="0" w:color="auto"/>
            </w:tcBorders>
          </w:tcPr>
          <w:p w14:paraId="0964ED90" w14:textId="77777777" w:rsidR="00715F8D" w:rsidRPr="008C3415" w:rsidRDefault="00715F8D" w:rsidP="00976B9A">
            <w:pPr>
              <w:pStyle w:val="TableParagraph"/>
              <w:spacing w:after="120"/>
              <w:ind w:left="0"/>
              <w:rPr>
                <w:b/>
                <w:sz w:val="20"/>
                <w:szCs w:val="20"/>
              </w:rPr>
            </w:pPr>
            <w:r w:rsidRPr="008C3415">
              <w:rPr>
                <w:b/>
                <w:sz w:val="20"/>
                <w:szCs w:val="20"/>
              </w:rPr>
              <w:lastRenderedPageBreak/>
              <w:t>Escalation</w:t>
            </w:r>
          </w:p>
          <w:p w14:paraId="7FFA6B0D" w14:textId="77777777" w:rsidR="00715F8D" w:rsidRPr="008C3415" w:rsidRDefault="00715F8D" w:rsidP="00976B9A">
            <w:pPr>
              <w:pStyle w:val="TableParagraph"/>
              <w:spacing w:after="120"/>
              <w:ind w:left="0"/>
              <w:rPr>
                <w:b/>
                <w:sz w:val="20"/>
                <w:szCs w:val="20"/>
              </w:rPr>
            </w:pPr>
            <w:r w:rsidRPr="008C3415">
              <w:rPr>
                <w:b/>
                <w:sz w:val="20"/>
                <w:szCs w:val="20"/>
              </w:rPr>
              <w:t>Protect</w:t>
            </w:r>
          </w:p>
          <w:p w14:paraId="44E9C556" w14:textId="77777777" w:rsidR="00715F8D" w:rsidRPr="008C3415" w:rsidRDefault="00715F8D" w:rsidP="00976B9A">
            <w:pPr>
              <w:pStyle w:val="TableParagraph"/>
              <w:spacing w:after="120"/>
              <w:ind w:left="0"/>
              <w:rPr>
                <w:b/>
                <w:sz w:val="20"/>
                <w:szCs w:val="20"/>
              </w:rPr>
            </w:pPr>
          </w:p>
        </w:tc>
        <w:tc>
          <w:tcPr>
            <w:tcW w:w="751" w:type="pct"/>
            <w:tcBorders>
              <w:top w:val="single" w:sz="4" w:space="0" w:color="auto"/>
              <w:left w:val="single" w:sz="4" w:space="0" w:color="auto"/>
              <w:bottom w:val="single" w:sz="4" w:space="0" w:color="auto"/>
              <w:right w:val="single" w:sz="4" w:space="0" w:color="auto"/>
            </w:tcBorders>
          </w:tcPr>
          <w:p w14:paraId="57445892" w14:textId="77777777" w:rsidR="00715F8D" w:rsidRPr="003C7113" w:rsidRDefault="00715F8D" w:rsidP="00852BAA">
            <w:pPr>
              <w:pStyle w:val="TableParagraph"/>
              <w:spacing w:after="120"/>
              <w:ind w:left="29"/>
              <w:rPr>
                <w:bCs/>
                <w:sz w:val="20"/>
                <w:szCs w:val="20"/>
              </w:rPr>
            </w:pPr>
            <w:r w:rsidRPr="008C3415">
              <w:rPr>
                <w:bCs/>
                <w:sz w:val="20"/>
                <w:szCs w:val="20"/>
              </w:rPr>
              <w:t>Majority of units declaring CRITCON 2 and an increasing number of units declaring CRITCON 3</w:t>
            </w:r>
          </w:p>
          <w:p w14:paraId="7406BB31" w14:textId="77777777" w:rsidR="00715F8D" w:rsidRPr="003C7113" w:rsidRDefault="00715F8D" w:rsidP="00852BAA">
            <w:pPr>
              <w:pStyle w:val="TableParagraph"/>
              <w:spacing w:after="120"/>
              <w:ind w:left="29"/>
              <w:rPr>
                <w:bCs/>
                <w:sz w:val="20"/>
                <w:szCs w:val="20"/>
              </w:rPr>
            </w:pPr>
            <w:r w:rsidRPr="003C7113">
              <w:rPr>
                <w:bCs/>
                <w:sz w:val="20"/>
                <w:szCs w:val="20"/>
              </w:rPr>
              <w:t>OPEL 2</w:t>
            </w:r>
          </w:p>
        </w:tc>
        <w:tc>
          <w:tcPr>
            <w:tcW w:w="1940" w:type="pct"/>
            <w:tcBorders>
              <w:top w:val="single" w:sz="4" w:space="0" w:color="auto"/>
              <w:left w:val="single" w:sz="4" w:space="0" w:color="auto"/>
              <w:bottom w:val="single" w:sz="4" w:space="0" w:color="auto"/>
              <w:right w:val="single" w:sz="4" w:space="0" w:color="auto"/>
            </w:tcBorders>
          </w:tcPr>
          <w:p w14:paraId="4148450E" w14:textId="77777777" w:rsidR="00715F8D" w:rsidRPr="008C3415" w:rsidRDefault="00715F8D" w:rsidP="00EE3FE3">
            <w:pPr>
              <w:pStyle w:val="TableParagraph"/>
              <w:numPr>
                <w:ilvl w:val="0"/>
                <w:numId w:val="2"/>
              </w:numPr>
              <w:ind w:left="242" w:right="86" w:hanging="164"/>
              <w:rPr>
                <w:b/>
                <w:bCs/>
                <w:sz w:val="20"/>
                <w:szCs w:val="20"/>
              </w:rPr>
            </w:pPr>
            <w:r w:rsidRPr="008C3415">
              <w:rPr>
                <w:b/>
                <w:bCs/>
                <w:sz w:val="20"/>
                <w:szCs w:val="20"/>
              </w:rPr>
              <w:t>100% to 150% of capacity occupied</w:t>
            </w:r>
          </w:p>
          <w:p w14:paraId="0C8E067A" w14:textId="77777777" w:rsidR="00715F8D" w:rsidRPr="008C3415" w:rsidRDefault="00715F8D" w:rsidP="00EE3FE3">
            <w:pPr>
              <w:pStyle w:val="TableParagraph"/>
              <w:numPr>
                <w:ilvl w:val="0"/>
                <w:numId w:val="2"/>
              </w:numPr>
              <w:ind w:left="242" w:right="86" w:hanging="164"/>
              <w:rPr>
                <w:sz w:val="20"/>
                <w:szCs w:val="20"/>
              </w:rPr>
            </w:pPr>
            <w:r w:rsidRPr="008C3415">
              <w:rPr>
                <w:sz w:val="20"/>
                <w:szCs w:val="20"/>
              </w:rPr>
              <w:t>Exceeding expected winter pressures</w:t>
            </w:r>
          </w:p>
          <w:p w14:paraId="3F9B285F" w14:textId="77777777" w:rsidR="00715F8D" w:rsidRPr="003C7113" w:rsidRDefault="00715F8D" w:rsidP="00EE3FE3">
            <w:pPr>
              <w:pStyle w:val="TableParagraph"/>
              <w:numPr>
                <w:ilvl w:val="0"/>
                <w:numId w:val="2"/>
              </w:numPr>
              <w:ind w:left="242" w:right="86" w:hanging="164"/>
              <w:rPr>
                <w:sz w:val="20"/>
                <w:szCs w:val="20"/>
              </w:rPr>
            </w:pPr>
            <w:r w:rsidRPr="003C7113">
              <w:rPr>
                <w:sz w:val="20"/>
                <w:szCs w:val="20"/>
              </w:rPr>
              <w:t>Expanded in to enhanced care areas or expanded into next identified surge area</w:t>
            </w:r>
          </w:p>
          <w:p w14:paraId="3E68AB3D" w14:textId="77777777" w:rsidR="00715F8D" w:rsidRPr="008C3415" w:rsidRDefault="00715F8D" w:rsidP="00EE3FE3">
            <w:pPr>
              <w:pStyle w:val="TableParagraph"/>
              <w:numPr>
                <w:ilvl w:val="0"/>
                <w:numId w:val="2"/>
              </w:numPr>
              <w:ind w:left="242" w:right="86" w:hanging="164"/>
              <w:rPr>
                <w:sz w:val="20"/>
                <w:szCs w:val="20"/>
              </w:rPr>
            </w:pPr>
            <w:r w:rsidRPr="008C3415">
              <w:rPr>
                <w:sz w:val="20"/>
                <w:szCs w:val="20"/>
              </w:rPr>
              <w:t>Usual funded critical care capacity full – overflow into quasi-critical care areas or identified surge areas</w:t>
            </w:r>
          </w:p>
          <w:p w14:paraId="507E1E1F" w14:textId="77777777" w:rsidR="00715F8D" w:rsidRPr="008C3415" w:rsidRDefault="00715F8D" w:rsidP="00EE3FE3">
            <w:pPr>
              <w:pStyle w:val="TableParagraph"/>
              <w:numPr>
                <w:ilvl w:val="0"/>
                <w:numId w:val="2"/>
              </w:numPr>
              <w:ind w:left="242" w:right="86" w:hanging="164"/>
              <w:rPr>
                <w:sz w:val="20"/>
                <w:szCs w:val="20"/>
              </w:rPr>
            </w:pPr>
            <w:r w:rsidRPr="008C3415">
              <w:rPr>
                <w:sz w:val="20"/>
                <w:szCs w:val="20"/>
              </w:rPr>
              <w:t>Increased conversion of L2 to L3 beds</w:t>
            </w:r>
          </w:p>
          <w:p w14:paraId="115678BC" w14:textId="77777777" w:rsidR="00715F8D" w:rsidRPr="008C3415" w:rsidRDefault="00715F8D" w:rsidP="00EE3FE3">
            <w:pPr>
              <w:pStyle w:val="TableParagraph"/>
              <w:numPr>
                <w:ilvl w:val="0"/>
                <w:numId w:val="2"/>
              </w:numPr>
              <w:ind w:left="242" w:right="86" w:hanging="164"/>
              <w:rPr>
                <w:sz w:val="20"/>
                <w:szCs w:val="20"/>
              </w:rPr>
            </w:pPr>
            <w:r w:rsidRPr="008C3415">
              <w:rPr>
                <w:sz w:val="20"/>
                <w:szCs w:val="20"/>
              </w:rPr>
              <w:t>High level of non-clinical transfers</w:t>
            </w:r>
          </w:p>
          <w:p w14:paraId="3D62863C" w14:textId="77777777" w:rsidR="00715F8D" w:rsidRPr="008C3415" w:rsidRDefault="00715F8D" w:rsidP="00EE3FE3">
            <w:pPr>
              <w:pStyle w:val="TableParagraph"/>
              <w:numPr>
                <w:ilvl w:val="0"/>
                <w:numId w:val="2"/>
              </w:numPr>
              <w:ind w:left="242" w:right="86" w:hanging="164"/>
              <w:rPr>
                <w:sz w:val="20"/>
                <w:szCs w:val="20"/>
              </w:rPr>
            </w:pPr>
            <w:r w:rsidRPr="008C3415">
              <w:rPr>
                <w:sz w:val="20"/>
                <w:szCs w:val="20"/>
              </w:rPr>
              <w:t>Trusts beginning capacity transfers and other mutual aid</w:t>
            </w:r>
          </w:p>
          <w:p w14:paraId="07C47FA5" w14:textId="77777777" w:rsidR="00715F8D" w:rsidRPr="008C3415" w:rsidRDefault="00715F8D" w:rsidP="00EE3FE3">
            <w:pPr>
              <w:pStyle w:val="TableParagraph"/>
              <w:numPr>
                <w:ilvl w:val="0"/>
                <w:numId w:val="2"/>
              </w:numPr>
              <w:ind w:left="242" w:right="86" w:hanging="164"/>
              <w:rPr>
                <w:sz w:val="20"/>
                <w:szCs w:val="20"/>
              </w:rPr>
            </w:pPr>
            <w:r w:rsidRPr="008C3415">
              <w:rPr>
                <w:rFonts w:eastAsia="Times New Roman"/>
                <w:sz w:val="20"/>
                <w:szCs w:val="20"/>
              </w:rPr>
              <w:t>Treatment currently available within the system utilising surge areas in trusts but majority of units maybe declaring CRITCON2</w:t>
            </w:r>
          </w:p>
          <w:p w14:paraId="18619A3C" w14:textId="77777777" w:rsidR="00715F8D" w:rsidRPr="008C3415" w:rsidRDefault="00715F8D" w:rsidP="00EE3FE3">
            <w:pPr>
              <w:pStyle w:val="TableParagraph"/>
              <w:numPr>
                <w:ilvl w:val="0"/>
                <w:numId w:val="2"/>
              </w:numPr>
              <w:ind w:left="242" w:right="86" w:hanging="164"/>
              <w:rPr>
                <w:sz w:val="20"/>
                <w:szCs w:val="20"/>
              </w:rPr>
            </w:pPr>
            <w:r>
              <w:rPr>
                <w:sz w:val="20"/>
                <w:szCs w:val="20"/>
              </w:rPr>
              <w:t>There may be pressures on critical care resources,</w:t>
            </w:r>
            <w:r w:rsidRPr="008C3415">
              <w:rPr>
                <w:sz w:val="20"/>
                <w:szCs w:val="20"/>
              </w:rPr>
              <w:t xml:space="preserve"> e</w:t>
            </w:r>
            <w:r>
              <w:rPr>
                <w:sz w:val="20"/>
                <w:szCs w:val="20"/>
              </w:rPr>
              <w:t>.</w:t>
            </w:r>
            <w:r w:rsidRPr="008C3415">
              <w:rPr>
                <w:sz w:val="20"/>
                <w:szCs w:val="20"/>
              </w:rPr>
              <w:t>g</w:t>
            </w:r>
            <w:r>
              <w:rPr>
                <w:sz w:val="20"/>
                <w:szCs w:val="20"/>
              </w:rPr>
              <w:t>.</w:t>
            </w:r>
            <w:r w:rsidRPr="008C3415">
              <w:rPr>
                <w:sz w:val="20"/>
                <w:szCs w:val="20"/>
              </w:rPr>
              <w:t xml:space="preserve"> Renal replacement therapy</w:t>
            </w:r>
            <w:r>
              <w:rPr>
                <w:sz w:val="20"/>
                <w:szCs w:val="20"/>
              </w:rPr>
              <w:t xml:space="preserve"> or particular medicine</w:t>
            </w:r>
          </w:p>
        </w:tc>
        <w:tc>
          <w:tcPr>
            <w:tcW w:w="1857" w:type="pct"/>
            <w:tcBorders>
              <w:top w:val="single" w:sz="4" w:space="0" w:color="auto"/>
              <w:left w:val="single" w:sz="4" w:space="0" w:color="auto"/>
              <w:bottom w:val="single" w:sz="4" w:space="0" w:color="auto"/>
              <w:right w:val="single" w:sz="4" w:space="0" w:color="auto"/>
            </w:tcBorders>
          </w:tcPr>
          <w:p w14:paraId="7366B999" w14:textId="77777777" w:rsidR="00715F8D" w:rsidRPr="008C3415" w:rsidRDefault="00715F8D" w:rsidP="00976B9A">
            <w:pPr>
              <w:pStyle w:val="TableParagraph"/>
              <w:ind w:left="108"/>
              <w:rPr>
                <w:sz w:val="20"/>
                <w:szCs w:val="20"/>
                <w:u w:val="single"/>
              </w:rPr>
            </w:pPr>
            <w:r w:rsidRPr="008C3415">
              <w:rPr>
                <w:sz w:val="20"/>
                <w:szCs w:val="20"/>
                <w:u w:val="single"/>
              </w:rPr>
              <w:t>System and Region actions</w:t>
            </w:r>
          </w:p>
          <w:p w14:paraId="46EB1F90"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Regional Command and Control structures in place</w:t>
            </w:r>
          </w:p>
          <w:p w14:paraId="4526B041"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Cancellation of elective surgery in line with clinical prioritisation to commence</w:t>
            </w:r>
          </w:p>
          <w:p w14:paraId="78447863"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Capacity transfers and other mutual aid across systems and within regions</w:t>
            </w:r>
          </w:p>
          <w:p w14:paraId="75CB78CE"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Surge beds to be used optimally</w:t>
            </w:r>
          </w:p>
          <w:p w14:paraId="19E66702"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Critical care cells meeting regularly</w:t>
            </w:r>
          </w:p>
          <w:p w14:paraId="370A680E"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Enhanced monitoring and reporting by ACC commissioners and UEC winter teams</w:t>
            </w:r>
          </w:p>
          <w:p w14:paraId="2546C0FF" w14:textId="77777777" w:rsidR="00715F8D" w:rsidRPr="008C3415" w:rsidRDefault="00715F8D" w:rsidP="00EE3FE3">
            <w:pPr>
              <w:pStyle w:val="TableParagraph"/>
              <w:numPr>
                <w:ilvl w:val="0"/>
                <w:numId w:val="2"/>
              </w:numPr>
              <w:ind w:left="272" w:hanging="164"/>
              <w:rPr>
                <w:sz w:val="20"/>
                <w:szCs w:val="20"/>
              </w:rPr>
            </w:pPr>
            <w:bookmarkStart w:id="2" w:name="_Hlk67042838"/>
            <w:r w:rsidRPr="008C3415">
              <w:rPr>
                <w:sz w:val="20"/>
                <w:szCs w:val="20"/>
              </w:rPr>
              <w:t>Daily submission of Regional transfer requirements</w:t>
            </w:r>
          </w:p>
          <w:bookmarkEnd w:id="2"/>
          <w:p w14:paraId="2666BD4C"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Daily reporting and review of ACC occupancy at a system and regional level</w:t>
            </w:r>
          </w:p>
          <w:p w14:paraId="4E78CB19"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Maintaining acceptable staffing ratios through redeployment of non-critical care staff although these may not be GPICS</w:t>
            </w:r>
            <w:r w:rsidRPr="008C3415">
              <w:rPr>
                <w:rStyle w:val="FootnoteReference"/>
                <w:sz w:val="20"/>
                <w:szCs w:val="20"/>
              </w:rPr>
              <w:footnoteReference w:id="6"/>
            </w:r>
            <w:r w:rsidRPr="008C3415">
              <w:rPr>
                <w:sz w:val="20"/>
                <w:szCs w:val="20"/>
              </w:rPr>
              <w:t xml:space="preserve"> compliant</w:t>
            </w:r>
          </w:p>
          <w:p w14:paraId="0B146AA8" w14:textId="77777777" w:rsidR="00715F8D" w:rsidRPr="008C3415" w:rsidRDefault="00715F8D" w:rsidP="00976B9A">
            <w:pPr>
              <w:pStyle w:val="TableParagraph"/>
              <w:rPr>
                <w:sz w:val="20"/>
                <w:szCs w:val="20"/>
                <w:u w:val="single"/>
              </w:rPr>
            </w:pPr>
            <w:r w:rsidRPr="008C3415">
              <w:rPr>
                <w:sz w:val="20"/>
                <w:szCs w:val="20"/>
                <w:u w:val="single"/>
              </w:rPr>
              <w:t>National actions</w:t>
            </w:r>
          </w:p>
          <w:p w14:paraId="294C6A14"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Increased national and regional commissioning input may be required</w:t>
            </w:r>
          </w:p>
          <w:p w14:paraId="738E39D5"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 xml:space="preserve">national Critical Care Capacity Panel (CCCP) to provide strategic direction for inter-regional capacity transfers </w:t>
            </w:r>
          </w:p>
        </w:tc>
      </w:tr>
      <w:tr w:rsidR="00F933B4" w:rsidRPr="008C3415" w14:paraId="22BE63FC" w14:textId="77777777" w:rsidTr="00852BAA">
        <w:trPr>
          <w:cantSplit/>
          <w:trHeight w:val="264"/>
        </w:trPr>
        <w:tc>
          <w:tcPr>
            <w:tcW w:w="453" w:type="pct"/>
            <w:tcBorders>
              <w:top w:val="single" w:sz="4" w:space="0" w:color="auto"/>
            </w:tcBorders>
          </w:tcPr>
          <w:p w14:paraId="67E25CC4" w14:textId="77777777" w:rsidR="00715F8D" w:rsidRPr="008C3415" w:rsidRDefault="00715F8D" w:rsidP="00976B9A">
            <w:pPr>
              <w:pStyle w:val="TableParagraph"/>
              <w:spacing w:after="120"/>
              <w:ind w:left="0"/>
              <w:rPr>
                <w:b/>
                <w:bCs/>
                <w:sz w:val="20"/>
                <w:szCs w:val="20"/>
              </w:rPr>
            </w:pPr>
            <w:r w:rsidRPr="008C3415">
              <w:rPr>
                <w:b/>
                <w:bCs/>
                <w:sz w:val="20"/>
                <w:szCs w:val="20"/>
              </w:rPr>
              <w:t>Heightened escalation</w:t>
            </w:r>
          </w:p>
          <w:p w14:paraId="720DC0D6" w14:textId="77777777" w:rsidR="00715F8D" w:rsidRPr="008C3415" w:rsidRDefault="00715F8D" w:rsidP="00976B9A">
            <w:pPr>
              <w:pStyle w:val="TableParagraph"/>
              <w:spacing w:after="120"/>
              <w:ind w:left="0"/>
              <w:rPr>
                <w:b/>
                <w:color w:val="FFFFFF" w:themeColor="background1"/>
                <w:sz w:val="20"/>
                <w:szCs w:val="20"/>
              </w:rPr>
            </w:pPr>
            <w:r w:rsidRPr="008C3415">
              <w:rPr>
                <w:b/>
                <w:color w:val="FFFFFF" w:themeColor="background1"/>
                <w:sz w:val="20"/>
                <w:szCs w:val="20"/>
              </w:rPr>
              <w:t>Control</w:t>
            </w:r>
          </w:p>
          <w:p w14:paraId="14ABD8B1" w14:textId="77777777" w:rsidR="00715F8D" w:rsidRPr="008C3415" w:rsidRDefault="00715F8D" w:rsidP="00976B9A">
            <w:pPr>
              <w:pStyle w:val="TableParagraph"/>
              <w:spacing w:after="120"/>
              <w:ind w:left="0"/>
              <w:rPr>
                <w:b/>
                <w:color w:val="FFFFFF" w:themeColor="background1"/>
                <w:sz w:val="20"/>
                <w:szCs w:val="20"/>
              </w:rPr>
            </w:pPr>
            <w:r w:rsidRPr="008C3415">
              <w:rPr>
                <w:b/>
                <w:color w:val="FFFFFF" w:themeColor="background1"/>
                <w:sz w:val="20"/>
                <w:szCs w:val="20"/>
              </w:rPr>
              <w:t>Incident Level 4</w:t>
            </w:r>
          </w:p>
          <w:p w14:paraId="1FA4B706" w14:textId="77777777" w:rsidR="00715F8D" w:rsidRPr="008C3415" w:rsidRDefault="00715F8D" w:rsidP="00976B9A">
            <w:pPr>
              <w:pStyle w:val="TableParagraph"/>
              <w:spacing w:after="120"/>
              <w:ind w:left="0"/>
              <w:rPr>
                <w:b/>
                <w:bCs/>
                <w:sz w:val="20"/>
                <w:szCs w:val="20"/>
              </w:rPr>
            </w:pPr>
          </w:p>
        </w:tc>
        <w:tc>
          <w:tcPr>
            <w:tcW w:w="751" w:type="pct"/>
            <w:tcBorders>
              <w:top w:val="single" w:sz="4" w:space="0" w:color="auto"/>
            </w:tcBorders>
          </w:tcPr>
          <w:p w14:paraId="0D0E27EA" w14:textId="77777777" w:rsidR="00715F8D" w:rsidRPr="008C3415" w:rsidRDefault="00715F8D" w:rsidP="00852BAA">
            <w:pPr>
              <w:pStyle w:val="TableParagraph"/>
              <w:spacing w:after="120"/>
              <w:ind w:left="29"/>
              <w:rPr>
                <w:bCs/>
                <w:sz w:val="20"/>
                <w:szCs w:val="20"/>
              </w:rPr>
            </w:pPr>
            <w:bookmarkStart w:id="3" w:name="_Hlk67042998"/>
            <w:r w:rsidRPr="008C3415">
              <w:rPr>
                <w:bCs/>
                <w:sz w:val="20"/>
                <w:szCs w:val="20"/>
              </w:rPr>
              <w:t>Increasing number of tertiary units reporting CRITCON 3</w:t>
            </w:r>
          </w:p>
          <w:p w14:paraId="731E0177" w14:textId="77777777" w:rsidR="00715F8D" w:rsidRPr="008C3415" w:rsidRDefault="00715F8D" w:rsidP="00852BAA">
            <w:pPr>
              <w:pStyle w:val="TableParagraph"/>
              <w:spacing w:after="120"/>
              <w:ind w:left="29"/>
              <w:rPr>
                <w:bCs/>
                <w:sz w:val="20"/>
                <w:szCs w:val="20"/>
              </w:rPr>
            </w:pPr>
            <w:r w:rsidRPr="008C3415">
              <w:rPr>
                <w:bCs/>
                <w:sz w:val="20"/>
                <w:szCs w:val="20"/>
              </w:rPr>
              <w:t>Some units at risk of moving to CRITCON 4</w:t>
            </w:r>
            <w:bookmarkEnd w:id="3"/>
          </w:p>
          <w:p w14:paraId="612B1AAE" w14:textId="77777777" w:rsidR="00715F8D" w:rsidRPr="008C3415" w:rsidRDefault="00715F8D" w:rsidP="00852BAA">
            <w:pPr>
              <w:ind w:left="29"/>
              <w:rPr>
                <w:rFonts w:eastAsia="Calibri"/>
                <w:bCs/>
                <w:sz w:val="20"/>
                <w:szCs w:val="20"/>
              </w:rPr>
            </w:pPr>
            <w:r w:rsidRPr="008C3415">
              <w:rPr>
                <w:rFonts w:eastAsia="Calibri"/>
                <w:bCs/>
                <w:sz w:val="20"/>
                <w:szCs w:val="20"/>
              </w:rPr>
              <w:t>OPEL 3</w:t>
            </w:r>
          </w:p>
          <w:p w14:paraId="4DAB6724" w14:textId="77777777" w:rsidR="00715F8D" w:rsidRPr="008C3415" w:rsidRDefault="00715F8D" w:rsidP="00852BAA">
            <w:pPr>
              <w:pStyle w:val="TableParagraph"/>
              <w:spacing w:after="120"/>
              <w:ind w:left="29"/>
              <w:rPr>
                <w:bCs/>
                <w:sz w:val="20"/>
                <w:szCs w:val="20"/>
              </w:rPr>
            </w:pPr>
          </w:p>
        </w:tc>
        <w:tc>
          <w:tcPr>
            <w:tcW w:w="1940" w:type="pct"/>
            <w:tcBorders>
              <w:top w:val="single" w:sz="4" w:space="0" w:color="auto"/>
            </w:tcBorders>
          </w:tcPr>
          <w:p w14:paraId="43A0B96D" w14:textId="77777777" w:rsidR="00715F8D" w:rsidRPr="008C3415" w:rsidRDefault="00715F8D" w:rsidP="00852BAA">
            <w:pPr>
              <w:pStyle w:val="TableParagraph"/>
              <w:ind w:left="242" w:right="318"/>
              <w:rPr>
                <w:b/>
                <w:bCs/>
                <w:sz w:val="20"/>
                <w:szCs w:val="20"/>
              </w:rPr>
            </w:pPr>
            <w:r w:rsidRPr="008C3415">
              <w:rPr>
                <w:b/>
                <w:bCs/>
                <w:sz w:val="20"/>
                <w:szCs w:val="20"/>
              </w:rPr>
              <w:t>150% to 200% of capacity occupied</w:t>
            </w:r>
          </w:p>
          <w:p w14:paraId="07F67347"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Expanded into identified suitable surge areas AND</w:t>
            </w:r>
          </w:p>
          <w:p w14:paraId="14B114C1"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Expanded into non-conventional areas (if applicable) OR</w:t>
            </w:r>
          </w:p>
          <w:p w14:paraId="6875FF29"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In final expansion area (for local escalation)</w:t>
            </w:r>
          </w:p>
          <w:p w14:paraId="11CAB9F0"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Expansion into non-critical care areas (</w:t>
            </w:r>
            <w:proofErr w:type="spellStart"/>
            <w:r w:rsidRPr="008C3415">
              <w:rPr>
                <w:sz w:val="20"/>
                <w:szCs w:val="20"/>
              </w:rPr>
              <w:t>eg</w:t>
            </w:r>
            <w:proofErr w:type="spellEnd"/>
            <w:r w:rsidRPr="008C3415">
              <w:rPr>
                <w:sz w:val="20"/>
                <w:szCs w:val="20"/>
              </w:rPr>
              <w:t xml:space="preserve"> wards) and/or use of paediatric facilities for adult critical care where appropriate.</w:t>
            </w:r>
          </w:p>
          <w:p w14:paraId="294BF133"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Trust operating at or near maximum physical capacity.</w:t>
            </w:r>
          </w:p>
          <w:p w14:paraId="6170F02A"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t>Maximum capacity transfers between Trusts, with network and regional NHSE co-ordination.</w:t>
            </w:r>
          </w:p>
          <w:p w14:paraId="44BA75C4" w14:textId="77777777" w:rsidR="00715F8D" w:rsidRPr="008C3415" w:rsidRDefault="00715F8D" w:rsidP="00EE3FE3">
            <w:pPr>
              <w:pStyle w:val="TableParagraph"/>
              <w:numPr>
                <w:ilvl w:val="0"/>
                <w:numId w:val="2"/>
              </w:numPr>
              <w:ind w:left="242" w:right="318" w:hanging="164"/>
              <w:rPr>
                <w:sz w:val="20"/>
                <w:szCs w:val="20"/>
              </w:rPr>
            </w:pPr>
            <w:r w:rsidRPr="008C3415">
              <w:rPr>
                <w:sz w:val="20"/>
                <w:szCs w:val="20"/>
              </w:rPr>
              <w:lastRenderedPageBreak/>
              <w:t>The prime imperative in CRITCON 3 is to prevent any single trust entering CRITCON 4</w:t>
            </w:r>
          </w:p>
          <w:p w14:paraId="4044B95E" w14:textId="77777777" w:rsidR="00715F8D" w:rsidRPr="008C3415" w:rsidRDefault="00715F8D" w:rsidP="00852BAA">
            <w:pPr>
              <w:pStyle w:val="TableParagraph"/>
              <w:ind w:left="242" w:right="318"/>
              <w:rPr>
                <w:sz w:val="20"/>
                <w:szCs w:val="20"/>
              </w:rPr>
            </w:pPr>
            <w:r w:rsidRPr="008C3415">
              <w:rPr>
                <w:sz w:val="20"/>
                <w:szCs w:val="20"/>
              </w:rPr>
              <w:t>CRITCON 4:</w:t>
            </w:r>
          </w:p>
          <w:p w14:paraId="27882AD5" w14:textId="77777777" w:rsidR="00715F8D" w:rsidRPr="008C3415" w:rsidRDefault="00715F8D" w:rsidP="00EE3FE3">
            <w:pPr>
              <w:pStyle w:val="TableParagraph"/>
              <w:numPr>
                <w:ilvl w:val="0"/>
                <w:numId w:val="9"/>
              </w:numPr>
              <w:ind w:left="242" w:right="318"/>
              <w:rPr>
                <w:sz w:val="20"/>
                <w:szCs w:val="20"/>
              </w:rPr>
            </w:pPr>
            <w:r w:rsidRPr="008C3415">
              <w:rPr>
                <w:sz w:val="20"/>
                <w:szCs w:val="20"/>
              </w:rPr>
              <w:t>Resources overwhelmed. Possibility of triage by resource (non-clinical refusal or withdrawal of critical care due to resource limitation).</w:t>
            </w:r>
          </w:p>
          <w:p w14:paraId="2DE0057F" w14:textId="77777777" w:rsidR="00715F8D" w:rsidRPr="008C3415" w:rsidRDefault="00715F8D" w:rsidP="00EE3FE3">
            <w:pPr>
              <w:pStyle w:val="TableParagraph"/>
              <w:numPr>
                <w:ilvl w:val="0"/>
                <w:numId w:val="9"/>
              </w:numPr>
              <w:ind w:left="242" w:right="318"/>
              <w:rPr>
                <w:sz w:val="20"/>
                <w:szCs w:val="20"/>
              </w:rPr>
            </w:pPr>
            <w:r w:rsidRPr="008C3415">
              <w:rPr>
                <w:sz w:val="20"/>
                <w:szCs w:val="20"/>
              </w:rPr>
              <w:t>This must only be implemented on national directive from NHSE and in accordance with national guidance.</w:t>
            </w:r>
          </w:p>
          <w:p w14:paraId="063FA3FE" w14:textId="77777777" w:rsidR="00715F8D" w:rsidRPr="008C3415" w:rsidRDefault="00715F8D" w:rsidP="00EE3FE3">
            <w:pPr>
              <w:pStyle w:val="ListParagraph"/>
              <w:numPr>
                <w:ilvl w:val="0"/>
                <w:numId w:val="8"/>
              </w:numPr>
              <w:ind w:left="242"/>
              <w:rPr>
                <w:rFonts w:eastAsia="Times New Roman"/>
                <w:sz w:val="20"/>
                <w:szCs w:val="20"/>
              </w:rPr>
            </w:pPr>
            <w:r w:rsidRPr="008C3415">
              <w:rPr>
                <w:rFonts w:eastAsia="Times New Roman"/>
                <w:sz w:val="20"/>
                <w:szCs w:val="20"/>
              </w:rPr>
              <w:t>Treatment available but in very limited supply across a region. Systems unable to maintain segregation and to continue priority elective work.</w:t>
            </w:r>
          </w:p>
          <w:p w14:paraId="52830C5B" w14:textId="77777777" w:rsidR="00715F8D" w:rsidRPr="008C3415" w:rsidRDefault="00715F8D" w:rsidP="00EE3FE3">
            <w:pPr>
              <w:pStyle w:val="ListParagraph"/>
              <w:numPr>
                <w:ilvl w:val="0"/>
                <w:numId w:val="8"/>
              </w:numPr>
              <w:ind w:left="242"/>
              <w:rPr>
                <w:rFonts w:eastAsia="Times New Roman"/>
                <w:sz w:val="20"/>
                <w:szCs w:val="20"/>
              </w:rPr>
            </w:pPr>
            <w:r w:rsidRPr="008C3415">
              <w:rPr>
                <w:rFonts w:eastAsia="Times New Roman"/>
                <w:sz w:val="20"/>
                <w:szCs w:val="20"/>
              </w:rPr>
              <w:t>Inter-system mutual aid and capacity transfers are required, facilitated by Regional Transfer sub-group. Capacity may soon be exceeded if demand increases further.</w:t>
            </w:r>
          </w:p>
          <w:p w14:paraId="087DEB09" w14:textId="77777777" w:rsidR="00715F8D" w:rsidRPr="008C3415" w:rsidRDefault="00715F8D" w:rsidP="00EE3FE3">
            <w:pPr>
              <w:pStyle w:val="ListParagraph"/>
              <w:numPr>
                <w:ilvl w:val="0"/>
                <w:numId w:val="8"/>
              </w:numPr>
              <w:ind w:left="242"/>
              <w:rPr>
                <w:rFonts w:eastAsia="Times New Roman"/>
                <w:sz w:val="20"/>
                <w:szCs w:val="20"/>
              </w:rPr>
            </w:pPr>
            <w:r w:rsidRPr="008C3415">
              <w:rPr>
                <w:rFonts w:eastAsia="Times New Roman"/>
                <w:sz w:val="20"/>
                <w:szCs w:val="20"/>
              </w:rPr>
              <w:t xml:space="preserve">Full use of </w:t>
            </w:r>
            <w:r>
              <w:rPr>
                <w:rFonts w:eastAsia="Times New Roman"/>
                <w:sz w:val="20"/>
                <w:szCs w:val="20"/>
              </w:rPr>
              <w:t>surge</w:t>
            </w:r>
            <w:r w:rsidRPr="008C3415">
              <w:rPr>
                <w:rFonts w:eastAsia="Times New Roman"/>
                <w:sz w:val="20"/>
                <w:szCs w:val="20"/>
              </w:rPr>
              <w:t xml:space="preserve"> staffing ratios and cross skilling</w:t>
            </w:r>
          </w:p>
        </w:tc>
        <w:tc>
          <w:tcPr>
            <w:tcW w:w="1857" w:type="pct"/>
            <w:tcBorders>
              <w:top w:val="single" w:sz="4" w:space="0" w:color="auto"/>
            </w:tcBorders>
          </w:tcPr>
          <w:p w14:paraId="61AE61EE" w14:textId="77777777" w:rsidR="00715F8D" w:rsidRPr="008C3415" w:rsidRDefault="00715F8D" w:rsidP="00976B9A">
            <w:pPr>
              <w:pStyle w:val="TableParagraph"/>
              <w:rPr>
                <w:sz w:val="20"/>
                <w:szCs w:val="20"/>
                <w:u w:val="single"/>
              </w:rPr>
            </w:pPr>
            <w:r w:rsidRPr="008C3415">
              <w:rPr>
                <w:sz w:val="20"/>
                <w:szCs w:val="20"/>
                <w:u w:val="single"/>
              </w:rPr>
              <w:lastRenderedPageBreak/>
              <w:t>System and Region actions</w:t>
            </w:r>
          </w:p>
          <w:p w14:paraId="79EFC0FF"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Regional Command and Control structures in place</w:t>
            </w:r>
          </w:p>
          <w:p w14:paraId="7DCBF929"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All non-life threatening/lifesaving elective inpatient surgery to stop.</w:t>
            </w:r>
          </w:p>
          <w:p w14:paraId="152283EC"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Review of prioritisation and cancellation of some specialist elective surgery</w:t>
            </w:r>
          </w:p>
          <w:p w14:paraId="682BA91B"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Mutual aid and capacity transfers across systems to maintain urgent activity.</w:t>
            </w:r>
          </w:p>
          <w:p w14:paraId="6E036FBC"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Daily identification of suitable patients for inter-regional transfer by regions under surge (as per guidance)</w:t>
            </w:r>
          </w:p>
          <w:p w14:paraId="14E273F7" w14:textId="77777777" w:rsidR="00715F8D" w:rsidRPr="008C3415" w:rsidRDefault="00715F8D" w:rsidP="00EE3FE3">
            <w:pPr>
              <w:pStyle w:val="TableParagraph"/>
              <w:numPr>
                <w:ilvl w:val="0"/>
                <w:numId w:val="2"/>
              </w:numPr>
              <w:ind w:left="272" w:hanging="164"/>
              <w:rPr>
                <w:sz w:val="20"/>
                <w:szCs w:val="20"/>
              </w:rPr>
            </w:pPr>
            <w:r w:rsidRPr="008C3415">
              <w:rPr>
                <w:sz w:val="20"/>
                <w:szCs w:val="20"/>
              </w:rPr>
              <w:lastRenderedPageBreak/>
              <w:t>GPICS staffing ratios may not be maintained in some clinical areas (</w:t>
            </w:r>
            <w:proofErr w:type="spellStart"/>
            <w:r w:rsidRPr="008C3415">
              <w:rPr>
                <w:sz w:val="20"/>
                <w:szCs w:val="20"/>
              </w:rPr>
              <w:t>eg</w:t>
            </w:r>
            <w:proofErr w:type="spellEnd"/>
            <w:r w:rsidRPr="008C3415">
              <w:rPr>
                <w:sz w:val="20"/>
                <w:szCs w:val="20"/>
              </w:rPr>
              <w:t xml:space="preserve"> multi-bed </w:t>
            </w:r>
            <w:proofErr w:type="spellStart"/>
            <w:r w:rsidRPr="008C3415">
              <w:rPr>
                <w:sz w:val="20"/>
                <w:szCs w:val="20"/>
              </w:rPr>
              <w:t>cohorted</w:t>
            </w:r>
            <w:proofErr w:type="spellEnd"/>
            <w:r w:rsidRPr="008C3415">
              <w:rPr>
                <w:sz w:val="20"/>
                <w:szCs w:val="20"/>
              </w:rPr>
              <w:t xml:space="preserve"> areas) (see footnote </w:t>
            </w:r>
            <w:r w:rsidRPr="008C3415">
              <w:rPr>
                <w:sz w:val="20"/>
                <w:szCs w:val="20"/>
                <w:vertAlign w:val="superscript"/>
              </w:rPr>
              <w:t>11</w:t>
            </w:r>
            <w:r w:rsidRPr="008C3415">
              <w:rPr>
                <w:sz w:val="20"/>
                <w:szCs w:val="20"/>
              </w:rPr>
              <w:t>)</w:t>
            </w:r>
          </w:p>
          <w:p w14:paraId="4E87772A" w14:textId="77777777" w:rsidR="00715F8D" w:rsidRPr="008C3415" w:rsidRDefault="00715F8D" w:rsidP="00976B9A">
            <w:pPr>
              <w:pStyle w:val="TableParagraph"/>
              <w:ind w:left="0"/>
              <w:rPr>
                <w:sz w:val="20"/>
                <w:szCs w:val="20"/>
                <w:u w:val="single"/>
              </w:rPr>
            </w:pPr>
            <w:r w:rsidRPr="008C3415">
              <w:rPr>
                <w:sz w:val="20"/>
                <w:szCs w:val="20"/>
                <w:u w:val="single"/>
              </w:rPr>
              <w:t>National action</w:t>
            </w:r>
          </w:p>
          <w:p w14:paraId="3DF35515"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Escalation of need for inter-regional capacity transfers to decompress multiple hospital sites</w:t>
            </w:r>
          </w:p>
          <w:p w14:paraId="3B13E3C4"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Enhanced monitoring and reporting will be in place</w:t>
            </w:r>
          </w:p>
          <w:p w14:paraId="0515A794"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Enhanced national and regional commissioning support will be required.</w:t>
            </w:r>
          </w:p>
          <w:p w14:paraId="2ACA9649"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Monitoring and co-ordination of escalation of interdependent services</w:t>
            </w:r>
          </w:p>
          <w:p w14:paraId="38F426DE"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Potential for devolved nation engagement for mutual aid and capacity transfers</w:t>
            </w:r>
          </w:p>
          <w:p w14:paraId="0983DCE8" w14:textId="77777777" w:rsidR="00715F8D" w:rsidRPr="008C3415" w:rsidRDefault="00715F8D" w:rsidP="00EE3FE3">
            <w:pPr>
              <w:pStyle w:val="TableParagraph"/>
              <w:numPr>
                <w:ilvl w:val="0"/>
                <w:numId w:val="2"/>
              </w:numPr>
              <w:ind w:left="272" w:hanging="164"/>
              <w:rPr>
                <w:sz w:val="20"/>
                <w:szCs w:val="20"/>
              </w:rPr>
            </w:pPr>
            <w:r w:rsidRPr="008C3415">
              <w:rPr>
                <w:sz w:val="20"/>
                <w:szCs w:val="20"/>
              </w:rPr>
              <w:t>Increased frequency of CCCP meetings</w:t>
            </w:r>
          </w:p>
        </w:tc>
      </w:tr>
    </w:tbl>
    <w:p w14:paraId="0A58290F" w14:textId="77777777" w:rsidR="00CA03B1" w:rsidRDefault="00CA03B1" w:rsidP="00C603F5">
      <w:pPr>
        <w:tabs>
          <w:tab w:val="left" w:pos="1379"/>
          <w:tab w:val="left" w:pos="1380"/>
        </w:tabs>
        <w:spacing w:after="120"/>
        <w:ind w:left="1424"/>
        <w:rPr>
          <w:sz w:val="24"/>
          <w:szCs w:val="24"/>
        </w:rPr>
        <w:sectPr w:rsidR="00CA03B1" w:rsidSect="0064352A">
          <w:pgSz w:w="16840" w:h="11910" w:orient="landscape"/>
          <w:pgMar w:top="1202" w:right="1338" w:bottom="561" w:left="278" w:header="567" w:footer="567" w:gutter="0"/>
          <w:cols w:space="720"/>
          <w:docGrid w:linePitch="299"/>
        </w:sectPr>
      </w:pPr>
    </w:p>
    <w:p w14:paraId="333FE501" w14:textId="43BED0AC" w:rsidR="00C603F5" w:rsidRPr="00C603F5" w:rsidRDefault="00C603F5" w:rsidP="00C603F5">
      <w:pPr>
        <w:tabs>
          <w:tab w:val="left" w:pos="1379"/>
          <w:tab w:val="left" w:pos="1380"/>
        </w:tabs>
        <w:spacing w:after="120"/>
        <w:ind w:left="1424"/>
        <w:rPr>
          <w:sz w:val="24"/>
          <w:szCs w:val="24"/>
        </w:rPr>
      </w:pPr>
    </w:p>
    <w:p w14:paraId="6A933234" w14:textId="74FEA5A5" w:rsidR="007B64AC" w:rsidRDefault="00CA03B1" w:rsidP="00EE3FE3">
      <w:pPr>
        <w:pStyle w:val="BodyText"/>
        <w:numPr>
          <w:ilvl w:val="1"/>
          <w:numId w:val="20"/>
        </w:numPr>
        <w:spacing w:line="312" w:lineRule="auto"/>
        <w:ind w:left="567" w:hanging="567"/>
        <w:rPr>
          <w:spacing w:val="-10"/>
        </w:rPr>
      </w:pPr>
      <w:r>
        <w:rPr>
          <w:spacing w:val="-10"/>
        </w:rPr>
        <w:t>I</w:t>
      </w:r>
      <w:r w:rsidR="007B64AC" w:rsidRPr="008F08A2">
        <w:rPr>
          <w:spacing w:val="-10"/>
        </w:rPr>
        <w:t xml:space="preserve">n </w:t>
      </w:r>
      <w:r w:rsidR="007B64AC" w:rsidRPr="00CA03B1">
        <w:rPr>
          <w:spacing w:val="-10"/>
        </w:rPr>
        <w:t>particular</w:t>
      </w:r>
      <w:r w:rsidRPr="00CA03B1">
        <w:rPr>
          <w:spacing w:val="-10"/>
        </w:rPr>
        <w:t>,</w:t>
      </w:r>
      <w:r w:rsidR="007B64AC" w:rsidRPr="00CA03B1">
        <w:rPr>
          <w:spacing w:val="-10"/>
        </w:rPr>
        <w:t xml:space="preserve"> this guidance requires:</w:t>
      </w:r>
    </w:p>
    <w:p w14:paraId="7B3E946E" w14:textId="77777777" w:rsidR="009320CE" w:rsidRPr="00CA03B1" w:rsidRDefault="009320CE" w:rsidP="00252DEB">
      <w:pPr>
        <w:pStyle w:val="BodyText"/>
        <w:spacing w:line="312" w:lineRule="auto"/>
        <w:ind w:left="567"/>
        <w:rPr>
          <w:spacing w:val="-10"/>
        </w:rPr>
      </w:pPr>
    </w:p>
    <w:p w14:paraId="2BF9D4E0" w14:textId="68AF47FF" w:rsidR="007B64AC" w:rsidRPr="008F7275" w:rsidRDefault="007B64AC" w:rsidP="00252DEB">
      <w:pPr>
        <w:numPr>
          <w:ilvl w:val="2"/>
          <w:numId w:val="1"/>
        </w:numPr>
        <w:spacing w:after="120" w:line="312" w:lineRule="auto"/>
        <w:ind w:left="1134" w:hanging="567"/>
        <w:rPr>
          <w:spacing w:val="-3"/>
          <w:sz w:val="24"/>
        </w:rPr>
      </w:pPr>
      <w:r w:rsidRPr="008F7275">
        <w:rPr>
          <w:spacing w:val="-3"/>
          <w:sz w:val="24"/>
        </w:rPr>
        <w:t xml:space="preserve">Adult Critical Care Units to submit information on their bed capacity through NHS Pathways </w:t>
      </w:r>
      <w:hyperlink r:id="rId24" w:history="1">
        <w:r w:rsidRPr="00DA469C">
          <w:rPr>
            <w:rStyle w:val="Hyperlink"/>
            <w:spacing w:val="-3"/>
            <w:sz w:val="24"/>
          </w:rPr>
          <w:t>D</w:t>
        </w:r>
        <w:r w:rsidR="00387DF6" w:rsidRPr="00DA469C">
          <w:rPr>
            <w:rStyle w:val="Hyperlink"/>
            <w:spacing w:val="-3"/>
            <w:sz w:val="24"/>
          </w:rPr>
          <w:t xml:space="preserve">irectory </w:t>
        </w:r>
        <w:r w:rsidRPr="00DA469C">
          <w:rPr>
            <w:rStyle w:val="Hyperlink"/>
            <w:spacing w:val="-3"/>
            <w:sz w:val="24"/>
          </w:rPr>
          <w:t>o</w:t>
        </w:r>
        <w:r w:rsidR="00387DF6" w:rsidRPr="00DA469C">
          <w:rPr>
            <w:rStyle w:val="Hyperlink"/>
            <w:spacing w:val="-3"/>
            <w:sz w:val="24"/>
          </w:rPr>
          <w:t xml:space="preserve">f </w:t>
        </w:r>
        <w:r w:rsidRPr="00DA469C">
          <w:rPr>
            <w:rStyle w:val="Hyperlink"/>
            <w:spacing w:val="-3"/>
            <w:sz w:val="24"/>
          </w:rPr>
          <w:t>S</w:t>
        </w:r>
        <w:r w:rsidR="00387DF6" w:rsidRPr="00DA469C">
          <w:rPr>
            <w:rStyle w:val="Hyperlink"/>
            <w:spacing w:val="-3"/>
            <w:sz w:val="24"/>
          </w:rPr>
          <w:t>ervices</w:t>
        </w:r>
      </w:hyperlink>
      <w:r w:rsidR="003434E7" w:rsidRPr="008F7275">
        <w:rPr>
          <w:spacing w:val="-3"/>
          <w:sz w:val="24"/>
        </w:rPr>
        <w:t xml:space="preserve"> </w:t>
      </w:r>
      <w:r w:rsidR="00387DF6" w:rsidRPr="008F7275">
        <w:rPr>
          <w:spacing w:val="-3"/>
          <w:sz w:val="24"/>
        </w:rPr>
        <w:t>(DoS)</w:t>
      </w:r>
      <w:r w:rsidRPr="008F7275">
        <w:rPr>
          <w:spacing w:val="-3"/>
          <w:sz w:val="24"/>
        </w:rPr>
        <w:t xml:space="preserve"> twice </w:t>
      </w:r>
      <w:r w:rsidR="0071147C" w:rsidRPr="008F7275">
        <w:rPr>
          <w:spacing w:val="-3"/>
          <w:sz w:val="24"/>
        </w:rPr>
        <w:t>daily</w:t>
      </w:r>
      <w:r w:rsidR="007E0D18">
        <w:rPr>
          <w:spacing w:val="-3"/>
          <w:sz w:val="24"/>
        </w:rPr>
        <w:t xml:space="preserve"> at 8am and 8pm</w:t>
      </w:r>
    </w:p>
    <w:p w14:paraId="01AAD7BD" w14:textId="05B71067" w:rsidR="007B64AC" w:rsidRPr="008F7275" w:rsidRDefault="00E841C9" w:rsidP="00252DEB">
      <w:pPr>
        <w:numPr>
          <w:ilvl w:val="2"/>
          <w:numId w:val="1"/>
        </w:numPr>
        <w:spacing w:after="120" w:line="312" w:lineRule="auto"/>
        <w:ind w:left="1134" w:hanging="567"/>
        <w:rPr>
          <w:spacing w:val="-3"/>
          <w:sz w:val="24"/>
        </w:rPr>
      </w:pPr>
      <w:r w:rsidRPr="008F7275">
        <w:rPr>
          <w:spacing w:val="-3"/>
          <w:sz w:val="24"/>
        </w:rPr>
        <w:t>G</w:t>
      </w:r>
      <w:r w:rsidR="007B64AC" w:rsidRPr="008F7275">
        <w:rPr>
          <w:spacing w:val="-3"/>
          <w:sz w:val="24"/>
        </w:rPr>
        <w:t>roups of Adult Critical Care Units to work jointly together through a</w:t>
      </w:r>
      <w:r w:rsidR="008F453C" w:rsidRPr="008F7275">
        <w:rPr>
          <w:spacing w:val="-3"/>
          <w:sz w:val="24"/>
        </w:rPr>
        <w:t xml:space="preserve"> </w:t>
      </w:r>
      <w:r w:rsidR="0071147C" w:rsidRPr="008F7275">
        <w:rPr>
          <w:spacing w:val="-3"/>
          <w:sz w:val="24"/>
        </w:rPr>
        <w:t>networked approach</w:t>
      </w:r>
      <w:r w:rsidR="00FE3BCC" w:rsidRPr="008F7275">
        <w:rPr>
          <w:spacing w:val="-3"/>
          <w:sz w:val="24"/>
        </w:rPr>
        <w:t xml:space="preserve"> co-ordinated by</w:t>
      </w:r>
      <w:r w:rsidR="00B217A9">
        <w:rPr>
          <w:spacing w:val="-3"/>
          <w:sz w:val="24"/>
        </w:rPr>
        <w:t xml:space="preserve"> Adult Critical Care</w:t>
      </w:r>
      <w:r w:rsidR="00FE3BCC" w:rsidRPr="008F7275">
        <w:rPr>
          <w:spacing w:val="-3"/>
          <w:sz w:val="24"/>
        </w:rPr>
        <w:t xml:space="preserve"> O</w:t>
      </w:r>
      <w:r w:rsidR="00B217A9">
        <w:rPr>
          <w:spacing w:val="-3"/>
          <w:sz w:val="24"/>
        </w:rPr>
        <w:t xml:space="preserve">perational </w:t>
      </w:r>
      <w:r w:rsidR="00FE3BCC" w:rsidRPr="008F7275">
        <w:rPr>
          <w:spacing w:val="-3"/>
          <w:sz w:val="24"/>
        </w:rPr>
        <w:t>D</w:t>
      </w:r>
      <w:r w:rsidR="00B217A9">
        <w:rPr>
          <w:spacing w:val="-3"/>
          <w:sz w:val="24"/>
        </w:rPr>
        <w:t xml:space="preserve">elivery </w:t>
      </w:r>
      <w:r w:rsidR="00FE3BCC" w:rsidRPr="008F7275">
        <w:rPr>
          <w:spacing w:val="-3"/>
          <w:sz w:val="24"/>
        </w:rPr>
        <w:t>N</w:t>
      </w:r>
      <w:r w:rsidR="00B217A9">
        <w:rPr>
          <w:spacing w:val="-3"/>
          <w:sz w:val="24"/>
        </w:rPr>
        <w:t>etwork</w:t>
      </w:r>
      <w:r w:rsidR="00FE3BCC" w:rsidRPr="008F7275">
        <w:rPr>
          <w:spacing w:val="-3"/>
          <w:sz w:val="24"/>
        </w:rPr>
        <w:t>s</w:t>
      </w:r>
      <w:r w:rsidR="00B217A9">
        <w:rPr>
          <w:spacing w:val="-3"/>
          <w:sz w:val="24"/>
        </w:rPr>
        <w:t xml:space="preserve"> (ODNs)</w:t>
      </w:r>
      <w:r w:rsidR="00F63D1F">
        <w:rPr>
          <w:spacing w:val="-3"/>
          <w:sz w:val="24"/>
        </w:rPr>
        <w:t>. T</w:t>
      </w:r>
      <w:r w:rsidRPr="008F7275">
        <w:rPr>
          <w:spacing w:val="-3"/>
          <w:sz w:val="24"/>
        </w:rPr>
        <w:t>he use of local “bubbles”</w:t>
      </w:r>
      <w:r w:rsidR="00F160EE">
        <w:rPr>
          <w:spacing w:val="-3"/>
          <w:sz w:val="24"/>
        </w:rPr>
        <w:t xml:space="preserve"> or joint working systems between Trusts</w:t>
      </w:r>
      <w:r w:rsidRPr="008F7275">
        <w:rPr>
          <w:spacing w:val="-3"/>
          <w:sz w:val="24"/>
        </w:rPr>
        <w:t xml:space="preserve"> may be appropriate</w:t>
      </w:r>
    </w:p>
    <w:p w14:paraId="7C34E883" w14:textId="54DE2DDF" w:rsidR="007B64AC" w:rsidRDefault="007B64AC" w:rsidP="00252DEB">
      <w:pPr>
        <w:numPr>
          <w:ilvl w:val="2"/>
          <w:numId w:val="1"/>
        </w:numPr>
        <w:spacing w:after="120" w:line="312" w:lineRule="auto"/>
        <w:ind w:left="1134" w:hanging="567"/>
        <w:rPr>
          <w:spacing w:val="-3"/>
          <w:sz w:val="24"/>
        </w:rPr>
      </w:pPr>
      <w:r w:rsidRPr="008F7275">
        <w:rPr>
          <w:spacing w:val="-3"/>
          <w:sz w:val="24"/>
        </w:rPr>
        <w:t xml:space="preserve">Region and ICSs to be assured that all Adult Critical Care Units </w:t>
      </w:r>
      <w:r w:rsidR="00F219B7">
        <w:rPr>
          <w:spacing w:val="-3"/>
          <w:sz w:val="24"/>
        </w:rPr>
        <w:t xml:space="preserve">and Trusts </w:t>
      </w:r>
      <w:r w:rsidRPr="008F7275">
        <w:rPr>
          <w:spacing w:val="-3"/>
          <w:sz w:val="24"/>
        </w:rPr>
        <w:t>in their locality have adequate escalation and business continuity plans in place. These plans are required to have clear escalation triggers to EPRR structures.</w:t>
      </w:r>
    </w:p>
    <w:p w14:paraId="7509AFDD" w14:textId="77777777" w:rsidR="00C92A6E" w:rsidRPr="00C92A6E" w:rsidRDefault="00C92A6E" w:rsidP="00252DEB">
      <w:pPr>
        <w:pStyle w:val="ListParagraph"/>
        <w:numPr>
          <w:ilvl w:val="2"/>
          <w:numId w:val="1"/>
        </w:numPr>
        <w:spacing w:line="312" w:lineRule="auto"/>
        <w:ind w:left="1134" w:hanging="567"/>
        <w:rPr>
          <w:spacing w:val="-3"/>
          <w:sz w:val="24"/>
        </w:rPr>
      </w:pPr>
      <w:r w:rsidRPr="00C92A6E">
        <w:rPr>
          <w:spacing w:val="-3"/>
          <w:sz w:val="24"/>
        </w:rPr>
        <w:t xml:space="preserve">ACC services to work with relevant other services, including Paediatric Critical Care services and Children and Young People Operational Delivery Networks, to ensure that surge plans are developed which consider if and how reciprocal support will be provided in the event of “Protect” escalation being reached (table 2). </w:t>
      </w:r>
    </w:p>
    <w:p w14:paraId="480F7CD0" w14:textId="77777777" w:rsidR="00171581" w:rsidRPr="00CF72EB" w:rsidRDefault="00171581" w:rsidP="004174C1">
      <w:pPr>
        <w:tabs>
          <w:tab w:val="left" w:pos="1379"/>
          <w:tab w:val="left" w:pos="1380"/>
        </w:tabs>
        <w:rPr>
          <w:color w:val="7030A0"/>
          <w:sz w:val="24"/>
        </w:rPr>
      </w:pPr>
    </w:p>
    <w:p w14:paraId="281D4707" w14:textId="00FE7DFE" w:rsidR="00800305" w:rsidRPr="008F08A2" w:rsidRDefault="00D43EBD" w:rsidP="006D6137">
      <w:pPr>
        <w:spacing w:after="120"/>
        <w:ind w:right="99"/>
        <w:rPr>
          <w:b/>
          <w:color w:val="0070C0"/>
          <w:sz w:val="24"/>
          <w:szCs w:val="24"/>
        </w:rPr>
      </w:pPr>
      <w:r>
        <w:rPr>
          <w:b/>
          <w:color w:val="0070C0"/>
          <w:sz w:val="24"/>
          <w:szCs w:val="24"/>
        </w:rPr>
        <w:t>Alignment with system, regional and national incident management</w:t>
      </w:r>
    </w:p>
    <w:p w14:paraId="46C79426" w14:textId="04C08489" w:rsidR="00C00C8F" w:rsidRPr="00C00C8F" w:rsidRDefault="00C00C8F" w:rsidP="00C00C8F">
      <w:pPr>
        <w:rPr>
          <w:spacing w:val="-10"/>
          <w:sz w:val="24"/>
          <w:szCs w:val="24"/>
        </w:rPr>
      </w:pPr>
    </w:p>
    <w:p w14:paraId="456ABAD7" w14:textId="6BD20E16" w:rsidR="00C00C8F" w:rsidRDefault="00C00C8F" w:rsidP="00EE3FE3">
      <w:pPr>
        <w:pStyle w:val="BodyText"/>
        <w:numPr>
          <w:ilvl w:val="1"/>
          <w:numId w:val="20"/>
        </w:numPr>
        <w:spacing w:line="312" w:lineRule="auto"/>
        <w:ind w:left="567" w:hanging="567"/>
        <w:rPr>
          <w:spacing w:val="-10"/>
        </w:rPr>
      </w:pPr>
      <w:r w:rsidRPr="00C00C8F">
        <w:rPr>
          <w:spacing w:val="-10"/>
        </w:rPr>
        <w:t>Early warning triggers to help anticipate the consequences of surge should be put in place. This mechanism should take into consideration the size of the system, the bed stock, size of units, the aetiology of the need to surge and maximum potential surge capacity. The availability of suitably trained staff and readiness to respond should also be considered</w:t>
      </w:r>
      <w:r w:rsidR="006D6137">
        <w:rPr>
          <w:spacing w:val="-10"/>
        </w:rPr>
        <w:t>.</w:t>
      </w:r>
    </w:p>
    <w:p w14:paraId="09F82500" w14:textId="77777777" w:rsidR="006D6137" w:rsidRDefault="006D6137" w:rsidP="006D6137">
      <w:pPr>
        <w:pStyle w:val="BodyText"/>
        <w:spacing w:line="312" w:lineRule="auto"/>
        <w:ind w:left="567"/>
        <w:rPr>
          <w:spacing w:val="-10"/>
        </w:rPr>
      </w:pPr>
    </w:p>
    <w:p w14:paraId="530C18A0" w14:textId="0F533FFB" w:rsidR="008103A3" w:rsidRPr="00B456C9" w:rsidRDefault="008103A3" w:rsidP="00EE3FE3">
      <w:pPr>
        <w:pStyle w:val="BodyText"/>
        <w:numPr>
          <w:ilvl w:val="1"/>
          <w:numId w:val="20"/>
        </w:numPr>
        <w:spacing w:line="312" w:lineRule="auto"/>
        <w:ind w:left="567" w:hanging="567"/>
        <w:rPr>
          <w:spacing w:val="-10"/>
        </w:rPr>
      </w:pPr>
      <w:r w:rsidRPr="00B456C9">
        <w:rPr>
          <w:spacing w:val="-10"/>
        </w:rPr>
        <w:t xml:space="preserve">Ongoing acute surge of all types is best </w:t>
      </w:r>
      <w:r w:rsidR="003B7A18" w:rsidRPr="00B456C9">
        <w:rPr>
          <w:spacing w:val="-10"/>
        </w:rPr>
        <w:t xml:space="preserve">coordinated </w:t>
      </w:r>
      <w:r w:rsidRPr="00B456C9">
        <w:rPr>
          <w:spacing w:val="-10"/>
        </w:rPr>
        <w:t xml:space="preserve">via the </w:t>
      </w:r>
      <w:r w:rsidR="003B7A18" w:rsidRPr="00B456C9">
        <w:rPr>
          <w:spacing w:val="-10"/>
        </w:rPr>
        <w:t>S</w:t>
      </w:r>
      <w:r w:rsidR="00D43EBD" w:rsidRPr="00B456C9">
        <w:rPr>
          <w:spacing w:val="-10"/>
        </w:rPr>
        <w:t>ystem</w:t>
      </w:r>
      <w:r w:rsidR="003B7A18" w:rsidRPr="00B456C9">
        <w:rPr>
          <w:spacing w:val="-10"/>
        </w:rPr>
        <w:t xml:space="preserve"> Control Centre</w:t>
      </w:r>
      <w:r w:rsidR="00D43EBD" w:rsidRPr="00B456C9">
        <w:rPr>
          <w:spacing w:val="-10"/>
        </w:rPr>
        <w:t>s</w:t>
      </w:r>
      <w:r w:rsidR="003B7A18" w:rsidRPr="00B456C9">
        <w:rPr>
          <w:spacing w:val="-10"/>
        </w:rPr>
        <w:t xml:space="preserve"> (SCC) within each ICB, where there is oversight of all aspects of the Urgent and Emergency Care (UEC) system.  SCCs have access to the ACC Directory of Service (DoS) dashboard and</w:t>
      </w:r>
      <w:r w:rsidR="00B456C9" w:rsidRPr="00B456C9">
        <w:rPr>
          <w:spacing w:val="-10"/>
        </w:rPr>
        <w:t>,</w:t>
      </w:r>
      <w:r w:rsidR="003B7A18" w:rsidRPr="00B456C9">
        <w:rPr>
          <w:spacing w:val="-10"/>
        </w:rPr>
        <w:t xml:space="preserve"> </w:t>
      </w:r>
      <w:r w:rsidR="00B456C9" w:rsidRPr="00B456C9">
        <w:rPr>
          <w:spacing w:val="-10"/>
        </w:rPr>
        <w:t xml:space="preserve">during their hours of operation, </w:t>
      </w:r>
      <w:r w:rsidR="003B7A18" w:rsidRPr="00B456C9">
        <w:rPr>
          <w:spacing w:val="-10"/>
        </w:rPr>
        <w:t xml:space="preserve">can support ACC ODNs, </w:t>
      </w:r>
      <w:proofErr w:type="gramStart"/>
      <w:r w:rsidR="003B7A18" w:rsidRPr="00B456C9">
        <w:rPr>
          <w:spacing w:val="-10"/>
        </w:rPr>
        <w:t>Trusts</w:t>
      </w:r>
      <w:proofErr w:type="gramEnd"/>
      <w:r w:rsidR="003B7A18" w:rsidRPr="00B456C9">
        <w:rPr>
          <w:spacing w:val="-10"/>
        </w:rPr>
        <w:t xml:space="preserve"> or units </w:t>
      </w:r>
      <w:r w:rsidR="00B456C9" w:rsidRPr="00B456C9">
        <w:rPr>
          <w:spacing w:val="-10"/>
        </w:rPr>
        <w:t>to escalate concerns and seek mutual aid.</w:t>
      </w:r>
    </w:p>
    <w:p w14:paraId="73F8680A" w14:textId="77777777" w:rsidR="006D6137" w:rsidRPr="00B456C9" w:rsidRDefault="006D6137" w:rsidP="006D6137">
      <w:pPr>
        <w:pStyle w:val="BodyText"/>
        <w:spacing w:line="312" w:lineRule="auto"/>
        <w:rPr>
          <w:spacing w:val="-10"/>
        </w:rPr>
      </w:pPr>
    </w:p>
    <w:p w14:paraId="1E128F78" w14:textId="724D88E3" w:rsidR="006D6137" w:rsidRDefault="00B456C9" w:rsidP="00EE3FE3">
      <w:pPr>
        <w:pStyle w:val="BodyText"/>
        <w:numPr>
          <w:ilvl w:val="1"/>
          <w:numId w:val="20"/>
        </w:numPr>
        <w:spacing w:line="312" w:lineRule="auto"/>
        <w:ind w:left="567" w:hanging="567"/>
        <w:rPr>
          <w:spacing w:val="-10"/>
        </w:rPr>
      </w:pPr>
      <w:r>
        <w:rPr>
          <w:spacing w:val="-10"/>
        </w:rPr>
        <w:t xml:space="preserve">Where the surge in demand is more rapid or impacting across multiple regions </w:t>
      </w:r>
      <w:r w:rsidR="00FD79F6" w:rsidRPr="00D34477">
        <w:rPr>
          <w:spacing w:val="-10"/>
        </w:rPr>
        <w:t>EPRR teams are key to assisting hospitals in the management of surge</w:t>
      </w:r>
      <w:r w:rsidR="00D43EBD">
        <w:rPr>
          <w:spacing w:val="-10"/>
        </w:rPr>
        <w:t xml:space="preserve"> in acute demand</w:t>
      </w:r>
      <w:r w:rsidR="00FD79F6" w:rsidRPr="00D34477">
        <w:rPr>
          <w:spacing w:val="-10"/>
        </w:rPr>
        <w:t xml:space="preserve">. </w:t>
      </w:r>
      <w:r w:rsidR="00243A8F" w:rsidRPr="00D34477">
        <w:rPr>
          <w:spacing w:val="-10"/>
        </w:rPr>
        <w:t xml:space="preserve">ODNs and regional Critical Care Cells act as a conduit to ensure a coordinated regional response. </w:t>
      </w:r>
      <w:r>
        <w:rPr>
          <w:spacing w:val="-10"/>
        </w:rPr>
        <w:t xml:space="preserve"> Where a national response is required, National Critical Care Panel could be stood back up.</w:t>
      </w:r>
    </w:p>
    <w:p w14:paraId="426A314C" w14:textId="77777777" w:rsidR="006D6137" w:rsidRPr="006D6137" w:rsidRDefault="006D6137" w:rsidP="006D6137">
      <w:pPr>
        <w:pStyle w:val="BodyText"/>
        <w:spacing w:line="312" w:lineRule="auto"/>
        <w:rPr>
          <w:spacing w:val="-10"/>
        </w:rPr>
      </w:pPr>
    </w:p>
    <w:p w14:paraId="0578A816" w14:textId="22D4FE51" w:rsidR="00FD79F6" w:rsidRDefault="00FD79F6" w:rsidP="00EE3FE3">
      <w:pPr>
        <w:pStyle w:val="BodyText"/>
        <w:numPr>
          <w:ilvl w:val="1"/>
          <w:numId w:val="20"/>
        </w:numPr>
        <w:spacing w:line="312" w:lineRule="auto"/>
        <w:ind w:left="567" w:hanging="567"/>
        <w:rPr>
          <w:spacing w:val="-10"/>
        </w:rPr>
      </w:pPr>
      <w:r w:rsidRPr="00D34477">
        <w:rPr>
          <w:spacing w:val="-10"/>
        </w:rPr>
        <w:t xml:space="preserve">Regions and Systems will use </w:t>
      </w:r>
      <w:r w:rsidR="00B456C9">
        <w:rPr>
          <w:spacing w:val="-10"/>
        </w:rPr>
        <w:t>appropriate</w:t>
      </w:r>
      <w:r w:rsidRPr="00D34477">
        <w:rPr>
          <w:spacing w:val="-10"/>
        </w:rPr>
        <w:t xml:space="preserve"> structures to ensure escalation through the levels is understood </w:t>
      </w:r>
      <w:r w:rsidR="00D43EBD">
        <w:rPr>
          <w:spacing w:val="-10"/>
        </w:rPr>
        <w:t xml:space="preserve">and enacted consistently; </w:t>
      </w:r>
      <w:r w:rsidRPr="00D34477">
        <w:rPr>
          <w:spacing w:val="-10"/>
        </w:rPr>
        <w:t xml:space="preserve">and to ensure mutual aid </w:t>
      </w:r>
      <w:r w:rsidR="007F0897">
        <w:rPr>
          <w:spacing w:val="-10"/>
        </w:rPr>
        <w:t>and capacity transfers are</w:t>
      </w:r>
      <w:r w:rsidRPr="00D34477">
        <w:rPr>
          <w:spacing w:val="-10"/>
        </w:rPr>
        <w:t xml:space="preserve"> enacted appropriately.</w:t>
      </w:r>
    </w:p>
    <w:p w14:paraId="463EA53A" w14:textId="77777777" w:rsidR="008557C9" w:rsidRPr="00D82B8B" w:rsidRDefault="008557C9" w:rsidP="00D82B8B">
      <w:pPr>
        <w:spacing w:after="120" w:line="276" w:lineRule="auto"/>
        <w:ind w:right="1077"/>
        <w:rPr>
          <w:spacing w:val="-10"/>
          <w:sz w:val="24"/>
          <w:szCs w:val="24"/>
        </w:rPr>
      </w:pPr>
    </w:p>
    <w:p w14:paraId="46811D19" w14:textId="4E1F491D" w:rsidR="00CA03B1" w:rsidRDefault="00CA03B1" w:rsidP="002547C8">
      <w:pPr>
        <w:pStyle w:val="ListParagraph"/>
        <w:tabs>
          <w:tab w:val="left" w:pos="1379"/>
          <w:tab w:val="left" w:pos="1380"/>
        </w:tabs>
        <w:spacing w:after="120" w:line="245" w:lineRule="auto"/>
        <w:ind w:left="1424" w:right="1077"/>
        <w:rPr>
          <w:spacing w:val="-10"/>
          <w:sz w:val="24"/>
          <w:szCs w:val="24"/>
        </w:rPr>
      </w:pPr>
    </w:p>
    <w:p w14:paraId="312B2BCB" w14:textId="0DD506BC" w:rsidR="002F4645" w:rsidRDefault="002F4645">
      <w:pPr>
        <w:rPr>
          <w:spacing w:val="-10"/>
          <w:sz w:val="24"/>
          <w:szCs w:val="24"/>
        </w:rPr>
      </w:pPr>
      <w:r>
        <w:rPr>
          <w:spacing w:val="-10"/>
          <w:sz w:val="24"/>
          <w:szCs w:val="24"/>
        </w:rPr>
        <w:br w:type="page"/>
      </w:r>
    </w:p>
    <w:p w14:paraId="40701E8F" w14:textId="77777777" w:rsidR="002547C8" w:rsidRPr="00D34477" w:rsidRDefault="002547C8" w:rsidP="002547C8">
      <w:pPr>
        <w:pStyle w:val="ListParagraph"/>
        <w:tabs>
          <w:tab w:val="left" w:pos="1379"/>
          <w:tab w:val="left" w:pos="1380"/>
        </w:tabs>
        <w:spacing w:after="120" w:line="245" w:lineRule="auto"/>
        <w:ind w:left="1424" w:right="1077"/>
        <w:rPr>
          <w:spacing w:val="-10"/>
          <w:sz w:val="24"/>
          <w:szCs w:val="24"/>
        </w:rPr>
      </w:pPr>
    </w:p>
    <w:p w14:paraId="5940D1F9" w14:textId="77777777" w:rsidR="00036791" w:rsidRDefault="006E2B00" w:rsidP="00EE3FE3">
      <w:pPr>
        <w:pStyle w:val="BodyText"/>
        <w:numPr>
          <w:ilvl w:val="0"/>
          <w:numId w:val="20"/>
        </w:numPr>
        <w:ind w:left="426" w:hanging="426"/>
        <w:rPr>
          <w:b/>
          <w:color w:val="006FC0"/>
          <w:sz w:val="29"/>
        </w:rPr>
      </w:pPr>
      <w:r>
        <w:rPr>
          <w:b/>
          <w:color w:val="006FC0"/>
          <w:sz w:val="29"/>
        </w:rPr>
        <w:t>I</w:t>
      </w:r>
      <w:r w:rsidR="00D43EBD">
        <w:rPr>
          <w:b/>
          <w:color w:val="006FC0"/>
          <w:sz w:val="29"/>
        </w:rPr>
        <w:t xml:space="preserve">nter-regional </w:t>
      </w:r>
      <w:r w:rsidR="00AC481C" w:rsidRPr="00AC481C">
        <w:rPr>
          <w:b/>
          <w:color w:val="006FC0"/>
          <w:sz w:val="29"/>
        </w:rPr>
        <w:t>Mutual</w:t>
      </w:r>
      <w:r w:rsidR="00FF2A81">
        <w:rPr>
          <w:b/>
          <w:color w:val="006FC0"/>
          <w:sz w:val="29"/>
        </w:rPr>
        <w:t xml:space="preserve"> Aid</w:t>
      </w:r>
      <w:r w:rsidR="00D14F2E">
        <w:rPr>
          <w:b/>
          <w:color w:val="006FC0"/>
          <w:sz w:val="29"/>
        </w:rPr>
        <w:t xml:space="preserve"> </w:t>
      </w:r>
    </w:p>
    <w:p w14:paraId="49E3CCE7" w14:textId="77777777" w:rsidR="00036791" w:rsidRDefault="00036791" w:rsidP="00036791">
      <w:pPr>
        <w:pStyle w:val="BodyText"/>
        <w:ind w:left="426"/>
        <w:rPr>
          <w:b/>
          <w:color w:val="006FC0"/>
          <w:sz w:val="29"/>
        </w:rPr>
      </w:pPr>
    </w:p>
    <w:p w14:paraId="35527EB9" w14:textId="34CDE116" w:rsidR="00FE1530" w:rsidRDefault="00FE1530" w:rsidP="00EE3FE3">
      <w:pPr>
        <w:pStyle w:val="BodyText"/>
        <w:numPr>
          <w:ilvl w:val="1"/>
          <w:numId w:val="20"/>
        </w:numPr>
        <w:spacing w:line="312" w:lineRule="auto"/>
        <w:ind w:left="567" w:hanging="567"/>
        <w:rPr>
          <w:spacing w:val="-10"/>
        </w:rPr>
      </w:pPr>
      <w:r w:rsidRPr="00036791">
        <w:rPr>
          <w:spacing w:val="-10"/>
        </w:rPr>
        <w:t xml:space="preserve">Any region can make a request to the national Critical Care Capacity Panel for </w:t>
      </w:r>
      <w:r w:rsidR="00D43EBD" w:rsidRPr="00036791">
        <w:rPr>
          <w:spacing w:val="-10"/>
        </w:rPr>
        <w:t xml:space="preserve">inter-regional </w:t>
      </w:r>
      <w:r w:rsidRPr="00036791">
        <w:rPr>
          <w:spacing w:val="-10"/>
        </w:rPr>
        <w:t>mutual aid</w:t>
      </w:r>
      <w:r w:rsidR="007F0897" w:rsidRPr="00036791">
        <w:rPr>
          <w:spacing w:val="-10"/>
        </w:rPr>
        <w:t xml:space="preserve"> and/or capacity transfers</w:t>
      </w:r>
      <w:r w:rsidRPr="00036791">
        <w:rPr>
          <w:spacing w:val="-10"/>
        </w:rPr>
        <w:t xml:space="preserve"> as part of the surge escalation process. These will be considered by regional comparison of key criteria including:</w:t>
      </w:r>
    </w:p>
    <w:p w14:paraId="18CB5E38" w14:textId="77777777" w:rsidR="00036791" w:rsidRPr="00036791" w:rsidRDefault="00036791" w:rsidP="00036791">
      <w:pPr>
        <w:pStyle w:val="BodyText"/>
        <w:ind w:left="567"/>
        <w:rPr>
          <w:spacing w:val="-10"/>
        </w:rPr>
      </w:pPr>
    </w:p>
    <w:p w14:paraId="17136085" w14:textId="69BC1123" w:rsidR="00FE1530" w:rsidRPr="009E3DAB" w:rsidRDefault="00FE1530" w:rsidP="00EE3FE3">
      <w:pPr>
        <w:numPr>
          <w:ilvl w:val="2"/>
          <w:numId w:val="1"/>
        </w:numPr>
        <w:spacing w:after="120" w:line="237" w:lineRule="auto"/>
        <w:ind w:left="993" w:right="1338" w:hanging="449"/>
        <w:rPr>
          <w:spacing w:val="-3"/>
          <w:sz w:val="24"/>
        </w:rPr>
      </w:pPr>
      <w:r w:rsidRPr="009E3DAB">
        <w:rPr>
          <w:spacing w:val="-3"/>
          <w:sz w:val="24"/>
        </w:rPr>
        <w:t>Critical Care occupancy</w:t>
      </w:r>
    </w:p>
    <w:p w14:paraId="6EEA6C84" w14:textId="7EA36493" w:rsidR="00FE1530" w:rsidRPr="009E3DAB" w:rsidRDefault="00FE1530" w:rsidP="00EE3FE3">
      <w:pPr>
        <w:numPr>
          <w:ilvl w:val="2"/>
          <w:numId w:val="1"/>
        </w:numPr>
        <w:spacing w:after="120" w:line="237" w:lineRule="auto"/>
        <w:ind w:left="993" w:right="1338" w:hanging="449"/>
        <w:rPr>
          <w:spacing w:val="-3"/>
          <w:sz w:val="24"/>
        </w:rPr>
      </w:pPr>
      <w:r w:rsidRPr="009E3DAB">
        <w:rPr>
          <w:spacing w:val="-3"/>
          <w:sz w:val="24"/>
        </w:rPr>
        <w:t xml:space="preserve">Surge capacity and potential to increase surge </w:t>
      </w:r>
      <w:r w:rsidR="004174C1" w:rsidRPr="009E3DAB">
        <w:rPr>
          <w:spacing w:val="-3"/>
          <w:sz w:val="24"/>
        </w:rPr>
        <w:t>provision.</w:t>
      </w:r>
    </w:p>
    <w:p w14:paraId="2606F586" w14:textId="334A6EEA" w:rsidR="00FE1530" w:rsidRPr="009E3DAB" w:rsidRDefault="00FE1530" w:rsidP="00EE3FE3">
      <w:pPr>
        <w:numPr>
          <w:ilvl w:val="2"/>
          <w:numId w:val="1"/>
        </w:numPr>
        <w:spacing w:after="120" w:line="237" w:lineRule="auto"/>
        <w:ind w:left="993" w:right="1338" w:hanging="449"/>
        <w:rPr>
          <w:spacing w:val="-3"/>
          <w:sz w:val="24"/>
        </w:rPr>
      </w:pPr>
      <w:r w:rsidRPr="009E3DAB">
        <w:rPr>
          <w:spacing w:val="-3"/>
          <w:sz w:val="24"/>
        </w:rPr>
        <w:t>Staffing ratios</w:t>
      </w:r>
    </w:p>
    <w:p w14:paraId="13153561" w14:textId="44777237" w:rsidR="00FE1530" w:rsidRPr="009E3DAB" w:rsidRDefault="003C783F" w:rsidP="00EE3FE3">
      <w:pPr>
        <w:numPr>
          <w:ilvl w:val="2"/>
          <w:numId w:val="1"/>
        </w:numPr>
        <w:spacing w:after="120" w:line="237" w:lineRule="auto"/>
        <w:ind w:left="993" w:right="1338" w:hanging="449"/>
        <w:rPr>
          <w:spacing w:val="-3"/>
          <w:sz w:val="24"/>
        </w:rPr>
      </w:pPr>
      <w:r>
        <w:rPr>
          <w:spacing w:val="-3"/>
          <w:sz w:val="24"/>
        </w:rPr>
        <w:t>T</w:t>
      </w:r>
      <w:r w:rsidR="002A6A14">
        <w:rPr>
          <w:spacing w:val="-3"/>
          <w:sz w:val="24"/>
        </w:rPr>
        <w:t>ertiary</w:t>
      </w:r>
      <w:r>
        <w:rPr>
          <w:spacing w:val="-3"/>
          <w:sz w:val="24"/>
        </w:rPr>
        <w:t xml:space="preserve"> and </w:t>
      </w:r>
      <w:r w:rsidR="002A6A14">
        <w:rPr>
          <w:spacing w:val="-3"/>
          <w:sz w:val="24"/>
        </w:rPr>
        <w:t>specialist</w:t>
      </w:r>
      <w:r w:rsidR="00FE1530" w:rsidRPr="009E3DAB">
        <w:rPr>
          <w:spacing w:val="-3"/>
          <w:sz w:val="24"/>
        </w:rPr>
        <w:t xml:space="preserve"> occupancy</w:t>
      </w:r>
    </w:p>
    <w:p w14:paraId="20384249" w14:textId="2D7126D2" w:rsidR="00FE1530" w:rsidRPr="009E3DAB" w:rsidRDefault="00FE1530" w:rsidP="00EE3FE3">
      <w:pPr>
        <w:numPr>
          <w:ilvl w:val="2"/>
          <w:numId w:val="1"/>
        </w:numPr>
        <w:spacing w:after="120" w:line="237" w:lineRule="auto"/>
        <w:ind w:left="993" w:right="1338" w:hanging="449"/>
        <w:rPr>
          <w:spacing w:val="-3"/>
          <w:sz w:val="24"/>
        </w:rPr>
      </w:pPr>
      <w:r w:rsidRPr="009E3DAB">
        <w:rPr>
          <w:spacing w:val="-3"/>
          <w:sz w:val="24"/>
        </w:rPr>
        <w:t xml:space="preserve">CRITCON score </w:t>
      </w:r>
    </w:p>
    <w:p w14:paraId="1490AD85" w14:textId="3C844AEE" w:rsidR="00C2607D" w:rsidRDefault="00C2607D" w:rsidP="00EE3FE3">
      <w:pPr>
        <w:numPr>
          <w:ilvl w:val="2"/>
          <w:numId w:val="1"/>
        </w:numPr>
        <w:spacing w:after="120" w:line="237" w:lineRule="auto"/>
        <w:ind w:left="993" w:right="1338" w:hanging="449"/>
        <w:rPr>
          <w:spacing w:val="-3"/>
          <w:sz w:val="24"/>
        </w:rPr>
      </w:pPr>
      <w:r w:rsidRPr="009E3DAB">
        <w:rPr>
          <w:spacing w:val="-3"/>
          <w:sz w:val="24"/>
        </w:rPr>
        <w:t>Local intelligence</w:t>
      </w:r>
      <w:r w:rsidR="00AF0CB3">
        <w:rPr>
          <w:spacing w:val="-3"/>
          <w:sz w:val="24"/>
        </w:rPr>
        <w:t xml:space="preserve"> including the balance of emergency vs. elective</w:t>
      </w:r>
      <w:r w:rsidR="003C783F">
        <w:rPr>
          <w:spacing w:val="-3"/>
          <w:sz w:val="24"/>
        </w:rPr>
        <w:t xml:space="preserve"> </w:t>
      </w:r>
      <w:r w:rsidR="004174C1">
        <w:rPr>
          <w:spacing w:val="-3"/>
          <w:sz w:val="24"/>
        </w:rPr>
        <w:t>activity.</w:t>
      </w:r>
    </w:p>
    <w:p w14:paraId="7957835E" w14:textId="77777777" w:rsidR="0022716D" w:rsidRPr="009E3DAB" w:rsidRDefault="0022716D" w:rsidP="0022716D">
      <w:pPr>
        <w:spacing w:after="120" w:line="237" w:lineRule="auto"/>
        <w:ind w:left="993" w:right="1338"/>
        <w:rPr>
          <w:spacing w:val="-3"/>
          <w:sz w:val="24"/>
        </w:rPr>
      </w:pPr>
    </w:p>
    <w:p w14:paraId="17CB2194" w14:textId="76B81B4A" w:rsidR="00FE1530" w:rsidRPr="009E3DAB" w:rsidRDefault="005B0769" w:rsidP="00EE3FE3">
      <w:pPr>
        <w:pStyle w:val="BodyText"/>
        <w:numPr>
          <w:ilvl w:val="1"/>
          <w:numId w:val="20"/>
        </w:numPr>
        <w:spacing w:line="312" w:lineRule="auto"/>
        <w:ind w:left="567" w:hanging="567"/>
        <w:rPr>
          <w:spacing w:val="-10"/>
        </w:rPr>
      </w:pPr>
      <w:r>
        <w:rPr>
          <w:spacing w:val="-10"/>
        </w:rPr>
        <w:t>If</w:t>
      </w:r>
      <w:r w:rsidR="00FE1530" w:rsidRPr="009E3DAB">
        <w:rPr>
          <w:spacing w:val="-10"/>
        </w:rPr>
        <w:t xml:space="preserve"> </w:t>
      </w:r>
      <w:r w:rsidR="002A6A14">
        <w:rPr>
          <w:spacing w:val="-10"/>
        </w:rPr>
        <w:t>transfers</w:t>
      </w:r>
      <w:r w:rsidR="00FE1530" w:rsidRPr="009E3DAB">
        <w:rPr>
          <w:spacing w:val="-10"/>
        </w:rPr>
        <w:t xml:space="preserve"> be agreed, the process outlined in the national service specification for</w:t>
      </w:r>
      <w:r w:rsidR="008332B5">
        <w:rPr>
          <w:spacing w:val="-10"/>
        </w:rPr>
        <w:t xml:space="preserve"> </w:t>
      </w:r>
      <w:hyperlink r:id="rId25" w:history="1">
        <w:r w:rsidR="008332B5" w:rsidRPr="00FA5F07">
          <w:rPr>
            <w:rStyle w:val="Hyperlink"/>
            <w:spacing w:val="-10"/>
          </w:rPr>
          <w:t>adult critical care transfer</w:t>
        </w:r>
      </w:hyperlink>
      <w:r w:rsidR="00E639AB" w:rsidRPr="00C05BA8">
        <w:rPr>
          <w:color w:val="1F497D" w:themeColor="text2"/>
          <w:spacing w:val="-10"/>
        </w:rPr>
        <w:t xml:space="preserve"> </w:t>
      </w:r>
      <w:r w:rsidR="00FE1530" w:rsidRPr="009E3DAB">
        <w:rPr>
          <w:spacing w:val="-10"/>
        </w:rPr>
        <w:t>will be enacted.</w:t>
      </w:r>
    </w:p>
    <w:p w14:paraId="4D01C0AC" w14:textId="77777777" w:rsidR="00FF2A81" w:rsidRPr="00115084" w:rsidRDefault="00FF2A81" w:rsidP="00FF2A81">
      <w:pPr>
        <w:tabs>
          <w:tab w:val="left" w:pos="1827"/>
          <w:tab w:val="left" w:pos="1828"/>
        </w:tabs>
        <w:spacing w:after="120" w:line="237" w:lineRule="auto"/>
        <w:ind w:left="1828" w:right="1338"/>
        <w:rPr>
          <w:color w:val="FF0000"/>
          <w:spacing w:val="-3"/>
          <w:sz w:val="24"/>
        </w:rPr>
      </w:pPr>
    </w:p>
    <w:p w14:paraId="5630455D" w14:textId="2881E065" w:rsidR="007D554E" w:rsidRDefault="007D554E" w:rsidP="00EE3FE3">
      <w:pPr>
        <w:pStyle w:val="BodyText"/>
        <w:numPr>
          <w:ilvl w:val="0"/>
          <w:numId w:val="20"/>
        </w:numPr>
        <w:ind w:left="426" w:hanging="426"/>
        <w:rPr>
          <w:b/>
          <w:color w:val="006FC0"/>
          <w:sz w:val="29"/>
        </w:rPr>
      </w:pPr>
      <w:r w:rsidRPr="00750F2D">
        <w:rPr>
          <w:b/>
          <w:color w:val="006FC0"/>
          <w:sz w:val="29"/>
        </w:rPr>
        <w:t>Impact on Elective Activity</w:t>
      </w:r>
    </w:p>
    <w:p w14:paraId="1CFB8829" w14:textId="77777777" w:rsidR="002F1CB2" w:rsidRDefault="002F1CB2" w:rsidP="002F1CB2">
      <w:pPr>
        <w:pStyle w:val="BodyText"/>
        <w:ind w:left="426"/>
        <w:rPr>
          <w:b/>
          <w:color w:val="006FC0"/>
          <w:sz w:val="29"/>
        </w:rPr>
      </w:pPr>
    </w:p>
    <w:p w14:paraId="5B037F81" w14:textId="77777777" w:rsidR="002F1CB2" w:rsidRDefault="002F1CB2" w:rsidP="00EE3FE3">
      <w:pPr>
        <w:pStyle w:val="ListParagraph"/>
        <w:numPr>
          <w:ilvl w:val="1"/>
          <w:numId w:val="20"/>
        </w:numPr>
        <w:spacing w:line="312" w:lineRule="auto"/>
        <w:ind w:left="567" w:hanging="567"/>
        <w:rPr>
          <w:spacing w:val="-10"/>
          <w:sz w:val="24"/>
          <w:szCs w:val="24"/>
        </w:rPr>
      </w:pPr>
      <w:r w:rsidRPr="002F1CB2">
        <w:rPr>
          <w:spacing w:val="-10"/>
          <w:sz w:val="24"/>
          <w:szCs w:val="24"/>
        </w:rPr>
        <w:t>During periods of heightened pressure, the NHS sometimes makes decisions to postpone elective activity and redeploy staff to support other services, including the sickest patients in adult critical care. These decisions should be made at a system level in discussion with NHS England regional team and take into consideration:</w:t>
      </w:r>
    </w:p>
    <w:p w14:paraId="2D87F3AA" w14:textId="77777777" w:rsidR="00186E8E" w:rsidRDefault="00186E8E" w:rsidP="00186E8E">
      <w:pPr>
        <w:pStyle w:val="ListParagraph"/>
        <w:spacing w:line="312" w:lineRule="auto"/>
        <w:ind w:left="567"/>
        <w:rPr>
          <w:spacing w:val="-10"/>
          <w:sz w:val="24"/>
          <w:szCs w:val="24"/>
        </w:rPr>
      </w:pPr>
    </w:p>
    <w:p w14:paraId="233D1DFD" w14:textId="24773673" w:rsidR="00FF2A81" w:rsidRPr="00A63B99" w:rsidRDefault="00FF2A81" w:rsidP="00EE3FE3">
      <w:pPr>
        <w:numPr>
          <w:ilvl w:val="2"/>
          <w:numId w:val="3"/>
        </w:numPr>
        <w:tabs>
          <w:tab w:val="left" w:pos="1827"/>
          <w:tab w:val="left" w:pos="1828"/>
        </w:tabs>
        <w:spacing w:after="120" w:line="237" w:lineRule="auto"/>
        <w:ind w:right="1338" w:hanging="449"/>
        <w:rPr>
          <w:spacing w:val="-3"/>
          <w:sz w:val="24"/>
        </w:rPr>
      </w:pPr>
      <w:r w:rsidRPr="00A63B99">
        <w:rPr>
          <w:spacing w:val="-3"/>
          <w:sz w:val="24"/>
        </w:rPr>
        <w:t>Elective activity priorities must be determined across a system and applied to the system as a whole and not as single sites</w:t>
      </w:r>
      <w:r w:rsidR="006E4861">
        <w:rPr>
          <w:spacing w:val="-3"/>
          <w:sz w:val="24"/>
        </w:rPr>
        <w:t xml:space="preserve"> </w:t>
      </w:r>
    </w:p>
    <w:p w14:paraId="451F64DD" w14:textId="6CD91A98" w:rsidR="00FF2A81" w:rsidRDefault="00156859" w:rsidP="00EE3FE3">
      <w:pPr>
        <w:numPr>
          <w:ilvl w:val="2"/>
          <w:numId w:val="3"/>
        </w:numPr>
        <w:tabs>
          <w:tab w:val="left" w:pos="1827"/>
          <w:tab w:val="left" w:pos="1828"/>
        </w:tabs>
        <w:spacing w:after="120" w:line="237" w:lineRule="auto"/>
        <w:ind w:right="1338" w:hanging="449"/>
        <w:rPr>
          <w:spacing w:val="-10"/>
          <w:sz w:val="24"/>
          <w:szCs w:val="24"/>
        </w:rPr>
      </w:pPr>
      <w:r w:rsidRPr="00A63B99">
        <w:rPr>
          <w:spacing w:val="-3"/>
          <w:sz w:val="24"/>
        </w:rPr>
        <w:t xml:space="preserve">The system approach may relocate some or all elective activity to </w:t>
      </w:r>
      <w:r w:rsidRPr="00F160EE">
        <w:rPr>
          <w:spacing w:val="-10"/>
          <w:sz w:val="24"/>
          <w:szCs w:val="24"/>
        </w:rPr>
        <w:t>other providers within a system, including the independent sector.</w:t>
      </w:r>
    </w:p>
    <w:p w14:paraId="39DDA573" w14:textId="77777777" w:rsidR="00186E8E" w:rsidRDefault="00186E8E" w:rsidP="00186E8E">
      <w:pPr>
        <w:tabs>
          <w:tab w:val="left" w:pos="1827"/>
          <w:tab w:val="left" w:pos="1828"/>
        </w:tabs>
        <w:spacing w:after="120" w:line="237" w:lineRule="auto"/>
        <w:ind w:left="1828" w:right="1338"/>
        <w:rPr>
          <w:spacing w:val="-10"/>
          <w:sz w:val="24"/>
          <w:szCs w:val="24"/>
        </w:rPr>
      </w:pPr>
    </w:p>
    <w:p w14:paraId="0C44903C" w14:textId="77777777" w:rsidR="006524D8" w:rsidRDefault="00243A8F" w:rsidP="00EE3FE3">
      <w:pPr>
        <w:pStyle w:val="ListParagraph"/>
        <w:numPr>
          <w:ilvl w:val="1"/>
          <w:numId w:val="20"/>
        </w:numPr>
        <w:spacing w:line="312" w:lineRule="auto"/>
        <w:ind w:left="567" w:hanging="567"/>
        <w:rPr>
          <w:spacing w:val="-10"/>
          <w:sz w:val="24"/>
          <w:szCs w:val="24"/>
        </w:rPr>
      </w:pPr>
      <w:r w:rsidRPr="00D34477">
        <w:rPr>
          <w:spacing w:val="-10"/>
          <w:sz w:val="24"/>
          <w:szCs w:val="24"/>
        </w:rPr>
        <w:t xml:space="preserve">Clinical validation of waiting list should be undertaken when elective activity is </w:t>
      </w:r>
      <w:r w:rsidR="00DF297B" w:rsidRPr="00D34477">
        <w:rPr>
          <w:spacing w:val="-10"/>
          <w:sz w:val="24"/>
          <w:szCs w:val="24"/>
        </w:rPr>
        <w:t>impacted and</w:t>
      </w:r>
      <w:r w:rsidR="00E44A74" w:rsidRPr="00D34477">
        <w:rPr>
          <w:spacing w:val="-10"/>
          <w:sz w:val="24"/>
          <w:szCs w:val="24"/>
        </w:rPr>
        <w:t xml:space="preserve"> should be regularly reviewed. </w:t>
      </w:r>
    </w:p>
    <w:p w14:paraId="5DB0C614" w14:textId="77777777" w:rsidR="006524D8" w:rsidRDefault="006524D8" w:rsidP="007B32E6">
      <w:pPr>
        <w:pStyle w:val="ListParagraph"/>
        <w:spacing w:line="312" w:lineRule="auto"/>
        <w:ind w:left="567"/>
        <w:rPr>
          <w:spacing w:val="-10"/>
          <w:sz w:val="24"/>
          <w:szCs w:val="24"/>
        </w:rPr>
      </w:pPr>
    </w:p>
    <w:p w14:paraId="06D66E5A" w14:textId="07B029E9" w:rsidR="00CA03B1" w:rsidRPr="006524D8" w:rsidRDefault="0078562B" w:rsidP="00EE3FE3">
      <w:pPr>
        <w:pStyle w:val="ListParagraph"/>
        <w:numPr>
          <w:ilvl w:val="1"/>
          <w:numId w:val="20"/>
        </w:numPr>
        <w:spacing w:line="312" w:lineRule="auto"/>
        <w:ind w:left="567" w:hanging="567"/>
        <w:rPr>
          <w:spacing w:val="-10"/>
          <w:sz w:val="24"/>
          <w:szCs w:val="24"/>
        </w:rPr>
      </w:pPr>
      <w:r w:rsidRPr="006524D8">
        <w:rPr>
          <w:spacing w:val="-10"/>
          <w:sz w:val="24"/>
          <w:szCs w:val="24"/>
        </w:rPr>
        <w:t xml:space="preserve">The prioritisation categories are based on the prioritisation tool produced by the Federation of Surgical Specialty Associations and endorsed by all surgical colleges. </w:t>
      </w:r>
      <w:r w:rsidR="00262721" w:rsidRPr="006524D8">
        <w:rPr>
          <w:spacing w:val="-10"/>
          <w:sz w:val="24"/>
          <w:szCs w:val="24"/>
        </w:rPr>
        <w:t xml:space="preserve">The prioritisation of elective surgery should continue to be carried out at a Trust level based on </w:t>
      </w:r>
      <w:hyperlink r:id="rId26" w:history="1">
        <w:r w:rsidR="00262721" w:rsidRPr="006524D8">
          <w:rPr>
            <w:rStyle w:val="Hyperlink"/>
            <w:spacing w:val="-10"/>
            <w:sz w:val="24"/>
            <w:szCs w:val="24"/>
          </w:rPr>
          <w:t>FSSA guidance</w:t>
        </w:r>
      </w:hyperlink>
      <w:r w:rsidR="00262721" w:rsidRPr="006524D8">
        <w:rPr>
          <w:spacing w:val="-10"/>
          <w:sz w:val="24"/>
          <w:szCs w:val="24"/>
        </w:rPr>
        <w:t>:</w:t>
      </w:r>
    </w:p>
    <w:p w14:paraId="02D58D72" w14:textId="15B14868" w:rsidR="009C597C" w:rsidRDefault="00CA03B1" w:rsidP="002C7B28">
      <w:pPr>
        <w:rPr>
          <w:spacing w:val="-10"/>
          <w:sz w:val="24"/>
          <w:szCs w:val="24"/>
        </w:rPr>
      </w:pPr>
      <w:r>
        <w:rPr>
          <w:spacing w:val="-10"/>
          <w:sz w:val="24"/>
          <w:szCs w:val="24"/>
        </w:rPr>
        <w:br w:type="page"/>
      </w:r>
    </w:p>
    <w:p w14:paraId="718CA5E6" w14:textId="77777777" w:rsidR="001D2C2F" w:rsidRDefault="001D2C2F" w:rsidP="002C7B28">
      <w:pPr>
        <w:rPr>
          <w:spacing w:val="-10"/>
          <w:sz w:val="24"/>
          <w:szCs w:val="24"/>
        </w:rPr>
      </w:pPr>
    </w:p>
    <w:p w14:paraId="3BC54D09" w14:textId="77777777" w:rsidR="001D2C2F" w:rsidRPr="002C7B28" w:rsidRDefault="001D2C2F" w:rsidP="002C7B28">
      <w:pPr>
        <w:rPr>
          <w:spacing w:val="-10"/>
          <w:sz w:val="24"/>
          <w:szCs w:val="24"/>
        </w:rPr>
      </w:pPr>
    </w:p>
    <w:p w14:paraId="3969D17F" w14:textId="77777777" w:rsidR="005E0877" w:rsidRPr="001D2C2F" w:rsidRDefault="005E0877" w:rsidP="001D2C2F">
      <w:pPr>
        <w:pStyle w:val="BodyText"/>
        <w:numPr>
          <w:ilvl w:val="0"/>
          <w:numId w:val="20"/>
        </w:numPr>
        <w:ind w:left="426" w:hanging="426"/>
        <w:rPr>
          <w:b/>
          <w:color w:val="006FC0"/>
          <w:sz w:val="29"/>
        </w:rPr>
      </w:pPr>
      <w:r w:rsidRPr="001D2C2F">
        <w:rPr>
          <w:b/>
          <w:color w:val="006FC0"/>
          <w:sz w:val="29"/>
        </w:rPr>
        <w:t>Workforce considerations</w:t>
      </w:r>
    </w:p>
    <w:p w14:paraId="169BCEE8" w14:textId="77777777" w:rsidR="004174C1" w:rsidRPr="007B32E6" w:rsidRDefault="004174C1" w:rsidP="004174C1">
      <w:pPr>
        <w:pStyle w:val="BodyText"/>
        <w:ind w:left="426"/>
        <w:rPr>
          <w:b/>
          <w:color w:val="006FC0"/>
          <w:sz w:val="29"/>
        </w:rPr>
      </w:pPr>
    </w:p>
    <w:p w14:paraId="49191DEB" w14:textId="77777777" w:rsidR="005E0877" w:rsidRPr="005E0877" w:rsidRDefault="005E0877" w:rsidP="005E0877">
      <w:pPr>
        <w:pStyle w:val="ListParagraph"/>
        <w:spacing w:after="120" w:line="276" w:lineRule="auto"/>
        <w:ind w:left="1379" w:right="1077"/>
        <w:rPr>
          <w:vanish/>
          <w:spacing w:val="-10"/>
          <w:sz w:val="24"/>
          <w:szCs w:val="24"/>
        </w:rPr>
      </w:pPr>
    </w:p>
    <w:p w14:paraId="254BF2E5" w14:textId="12D11C03" w:rsidR="00D3049C" w:rsidRDefault="00D3049C" w:rsidP="00EE3FE3">
      <w:pPr>
        <w:pStyle w:val="ListParagraph"/>
        <w:numPr>
          <w:ilvl w:val="1"/>
          <w:numId w:val="20"/>
        </w:numPr>
        <w:spacing w:line="312" w:lineRule="auto"/>
        <w:ind w:left="567" w:hanging="567"/>
        <w:rPr>
          <w:spacing w:val="-10"/>
          <w:sz w:val="24"/>
          <w:szCs w:val="24"/>
        </w:rPr>
      </w:pPr>
      <w:r w:rsidRPr="00D34477">
        <w:rPr>
          <w:spacing w:val="-10"/>
          <w:sz w:val="24"/>
          <w:szCs w:val="24"/>
        </w:rPr>
        <w:t xml:space="preserve">Workforce of all specialties including medical, </w:t>
      </w:r>
      <w:r w:rsidR="00FD2B74" w:rsidRPr="00D34477">
        <w:rPr>
          <w:spacing w:val="-10"/>
          <w:sz w:val="24"/>
          <w:szCs w:val="24"/>
        </w:rPr>
        <w:t>nursing,</w:t>
      </w:r>
      <w:r w:rsidRPr="00D34477">
        <w:rPr>
          <w:spacing w:val="-10"/>
          <w:sz w:val="24"/>
          <w:szCs w:val="24"/>
        </w:rPr>
        <w:t xml:space="preserve"> </w:t>
      </w:r>
      <w:r w:rsidR="008F33A9">
        <w:rPr>
          <w:spacing w:val="-10"/>
          <w:sz w:val="24"/>
          <w:szCs w:val="24"/>
        </w:rPr>
        <w:t xml:space="preserve">pharmacy </w:t>
      </w:r>
      <w:r w:rsidRPr="00D34477">
        <w:rPr>
          <w:spacing w:val="-10"/>
          <w:sz w:val="24"/>
          <w:szCs w:val="24"/>
        </w:rPr>
        <w:t xml:space="preserve">and </w:t>
      </w:r>
      <w:r w:rsidR="00D126A5" w:rsidRPr="00F860A7">
        <w:rPr>
          <w:spacing w:val="-10"/>
          <w:sz w:val="24"/>
          <w:szCs w:val="24"/>
        </w:rPr>
        <w:t>allied health professionals</w:t>
      </w:r>
      <w:r w:rsidRPr="00D34477">
        <w:rPr>
          <w:spacing w:val="-10"/>
          <w:sz w:val="24"/>
          <w:szCs w:val="24"/>
        </w:rPr>
        <w:t xml:space="preserve"> are integral to the implementation of any surge plan</w:t>
      </w:r>
      <w:r w:rsidR="006C1905" w:rsidRPr="00D34477">
        <w:rPr>
          <w:spacing w:val="-10"/>
          <w:sz w:val="24"/>
          <w:szCs w:val="24"/>
        </w:rPr>
        <w:t>. A</w:t>
      </w:r>
      <w:r w:rsidRPr="00D34477">
        <w:rPr>
          <w:spacing w:val="-10"/>
          <w:sz w:val="24"/>
          <w:szCs w:val="24"/>
        </w:rPr>
        <w:t>s such</w:t>
      </w:r>
      <w:r w:rsidR="006C1905" w:rsidRPr="00D34477">
        <w:rPr>
          <w:spacing w:val="-10"/>
          <w:sz w:val="24"/>
          <w:szCs w:val="24"/>
        </w:rPr>
        <w:t>,</w:t>
      </w:r>
      <w:r w:rsidRPr="00D34477">
        <w:rPr>
          <w:spacing w:val="-10"/>
          <w:sz w:val="24"/>
          <w:szCs w:val="24"/>
        </w:rPr>
        <w:t xml:space="preserve"> consideration of the </w:t>
      </w:r>
      <w:r w:rsidR="006C1905" w:rsidRPr="00D34477">
        <w:rPr>
          <w:spacing w:val="-10"/>
          <w:sz w:val="24"/>
          <w:szCs w:val="24"/>
        </w:rPr>
        <w:t>ability</w:t>
      </w:r>
      <w:r w:rsidRPr="00D34477">
        <w:rPr>
          <w:spacing w:val="-10"/>
          <w:sz w:val="24"/>
          <w:szCs w:val="24"/>
        </w:rPr>
        <w:t xml:space="preserve"> to flex staffing levels</w:t>
      </w:r>
      <w:r w:rsidRPr="00F60726">
        <w:rPr>
          <w:spacing w:val="-10"/>
          <w:sz w:val="24"/>
          <w:szCs w:val="24"/>
          <w:vertAlign w:val="superscript"/>
        </w:rPr>
        <w:t xml:space="preserve"> </w:t>
      </w:r>
      <w:r w:rsidR="00EB5F32" w:rsidRPr="00F60726">
        <w:rPr>
          <w:spacing w:val="-10"/>
          <w:sz w:val="24"/>
          <w:szCs w:val="24"/>
          <w:vertAlign w:val="superscript"/>
        </w:rPr>
        <w:footnoteReference w:id="7"/>
      </w:r>
      <w:r w:rsidR="00645DF5" w:rsidRPr="00F60726">
        <w:rPr>
          <w:spacing w:val="-10"/>
          <w:sz w:val="24"/>
          <w:szCs w:val="24"/>
          <w:vertAlign w:val="superscript"/>
        </w:rPr>
        <w:t>,</w:t>
      </w:r>
      <w:r w:rsidR="00F160EE" w:rsidRPr="00F60726">
        <w:rPr>
          <w:spacing w:val="-10"/>
          <w:sz w:val="24"/>
          <w:szCs w:val="24"/>
          <w:vertAlign w:val="superscript"/>
        </w:rPr>
        <w:footnoteReference w:id="8"/>
      </w:r>
      <w:r w:rsidR="00645DF5">
        <w:rPr>
          <w:spacing w:val="-10"/>
          <w:sz w:val="24"/>
          <w:szCs w:val="24"/>
        </w:rPr>
        <w:t xml:space="preserve"> </w:t>
      </w:r>
      <w:r w:rsidRPr="00D34477">
        <w:rPr>
          <w:spacing w:val="-10"/>
          <w:sz w:val="24"/>
          <w:szCs w:val="24"/>
        </w:rPr>
        <w:t xml:space="preserve">to </w:t>
      </w:r>
      <w:r w:rsidR="006C1905" w:rsidRPr="00D34477">
        <w:rPr>
          <w:spacing w:val="-10"/>
          <w:sz w:val="24"/>
          <w:szCs w:val="24"/>
        </w:rPr>
        <w:t xml:space="preserve">meet rising demand whilst </w:t>
      </w:r>
      <w:r w:rsidRPr="00D34477">
        <w:rPr>
          <w:spacing w:val="-10"/>
          <w:sz w:val="24"/>
          <w:szCs w:val="24"/>
        </w:rPr>
        <w:t>maintain</w:t>
      </w:r>
      <w:r w:rsidR="006C1905" w:rsidRPr="00D34477">
        <w:rPr>
          <w:spacing w:val="-10"/>
          <w:sz w:val="24"/>
          <w:szCs w:val="24"/>
        </w:rPr>
        <w:t>ing</w:t>
      </w:r>
      <w:r w:rsidRPr="00D34477">
        <w:rPr>
          <w:spacing w:val="-10"/>
          <w:sz w:val="24"/>
          <w:szCs w:val="24"/>
        </w:rPr>
        <w:t xml:space="preserve"> safe, quality care for patients is central to implementing this guidance. </w:t>
      </w:r>
    </w:p>
    <w:p w14:paraId="5E4B347E" w14:textId="77777777" w:rsidR="00356ADF" w:rsidRPr="00D34477" w:rsidRDefault="00356ADF" w:rsidP="00356ADF">
      <w:pPr>
        <w:pStyle w:val="ListParagraph"/>
        <w:spacing w:line="312" w:lineRule="auto"/>
        <w:ind w:left="567"/>
        <w:rPr>
          <w:spacing w:val="-10"/>
          <w:sz w:val="24"/>
          <w:szCs w:val="24"/>
        </w:rPr>
      </w:pPr>
    </w:p>
    <w:p w14:paraId="08022302" w14:textId="3F6DE56D" w:rsidR="00356ADF" w:rsidRDefault="006C1905" w:rsidP="00356ADF">
      <w:pPr>
        <w:pStyle w:val="ListParagraph"/>
        <w:numPr>
          <w:ilvl w:val="1"/>
          <w:numId w:val="20"/>
        </w:numPr>
        <w:spacing w:line="312" w:lineRule="auto"/>
        <w:ind w:left="567" w:hanging="567"/>
        <w:rPr>
          <w:spacing w:val="-10"/>
          <w:sz w:val="24"/>
          <w:szCs w:val="24"/>
        </w:rPr>
      </w:pPr>
      <w:r w:rsidRPr="00D34477">
        <w:rPr>
          <w:spacing w:val="-10"/>
          <w:sz w:val="24"/>
          <w:szCs w:val="24"/>
        </w:rPr>
        <w:t>Key considerations are:</w:t>
      </w:r>
    </w:p>
    <w:p w14:paraId="11CF7419" w14:textId="77777777" w:rsidR="00115CF9" w:rsidRPr="00115CF9" w:rsidRDefault="00115CF9" w:rsidP="00115CF9">
      <w:pPr>
        <w:spacing w:line="312" w:lineRule="auto"/>
        <w:rPr>
          <w:spacing w:val="-10"/>
          <w:sz w:val="24"/>
          <w:szCs w:val="24"/>
        </w:rPr>
      </w:pPr>
    </w:p>
    <w:p w14:paraId="38CD4351" w14:textId="686045DE" w:rsidR="008103A3" w:rsidRDefault="008103A3" w:rsidP="00F76C3B">
      <w:pPr>
        <w:numPr>
          <w:ilvl w:val="2"/>
          <w:numId w:val="6"/>
        </w:numPr>
        <w:tabs>
          <w:tab w:val="left" w:pos="1828"/>
        </w:tabs>
        <w:spacing w:after="120" w:line="312" w:lineRule="auto"/>
        <w:ind w:right="1338" w:hanging="449"/>
        <w:rPr>
          <w:spacing w:val="-3"/>
          <w:sz w:val="24"/>
        </w:rPr>
      </w:pPr>
      <w:r>
        <w:rPr>
          <w:spacing w:val="-3"/>
          <w:sz w:val="24"/>
        </w:rPr>
        <w:t xml:space="preserve">The need to maintain </w:t>
      </w:r>
      <w:r w:rsidR="002A6A14">
        <w:rPr>
          <w:spacing w:val="-3"/>
          <w:sz w:val="24"/>
        </w:rPr>
        <w:t xml:space="preserve">safe </w:t>
      </w:r>
      <w:r>
        <w:rPr>
          <w:spacing w:val="-3"/>
          <w:sz w:val="24"/>
        </w:rPr>
        <w:t>staffing</w:t>
      </w:r>
      <w:r w:rsidR="004174C1">
        <w:rPr>
          <w:spacing w:val="-3"/>
          <w:sz w:val="24"/>
        </w:rPr>
        <w:t>.</w:t>
      </w:r>
    </w:p>
    <w:p w14:paraId="1341A22B" w14:textId="5545FB4C" w:rsidR="006C1905" w:rsidRPr="008F7275" w:rsidRDefault="006C1905" w:rsidP="00F76C3B">
      <w:pPr>
        <w:numPr>
          <w:ilvl w:val="2"/>
          <w:numId w:val="6"/>
        </w:numPr>
        <w:tabs>
          <w:tab w:val="left" w:pos="1828"/>
        </w:tabs>
        <w:spacing w:after="120" w:line="312" w:lineRule="auto"/>
        <w:ind w:right="649" w:hanging="449"/>
        <w:rPr>
          <w:spacing w:val="-3"/>
          <w:sz w:val="24"/>
        </w:rPr>
      </w:pPr>
      <w:r w:rsidRPr="008F7275">
        <w:rPr>
          <w:spacing w:val="-3"/>
          <w:sz w:val="24"/>
        </w:rPr>
        <w:t>the availability of suitably trained staff</w:t>
      </w:r>
      <w:r w:rsidR="002A6A14">
        <w:rPr>
          <w:spacing w:val="-3"/>
          <w:sz w:val="24"/>
        </w:rPr>
        <w:t>,</w:t>
      </w:r>
      <w:r w:rsidRPr="008F7275">
        <w:rPr>
          <w:spacing w:val="-3"/>
          <w:sz w:val="24"/>
        </w:rPr>
        <w:t xml:space="preserve"> </w:t>
      </w:r>
      <w:r w:rsidR="007B5333" w:rsidRPr="008F7275">
        <w:rPr>
          <w:spacing w:val="-3"/>
          <w:sz w:val="24"/>
        </w:rPr>
        <w:t>equipment,</w:t>
      </w:r>
      <w:r w:rsidRPr="008F7275">
        <w:rPr>
          <w:spacing w:val="-3"/>
          <w:sz w:val="24"/>
        </w:rPr>
        <w:t xml:space="preserve"> and specialist supplies</w:t>
      </w:r>
      <w:r w:rsidR="004174C1">
        <w:rPr>
          <w:spacing w:val="-3"/>
          <w:sz w:val="24"/>
        </w:rPr>
        <w:t>.</w:t>
      </w:r>
    </w:p>
    <w:p w14:paraId="0A76F74C" w14:textId="7076DE35" w:rsidR="002C2FA9" w:rsidRPr="008F7275" w:rsidRDefault="002C2FA9" w:rsidP="00F76C3B">
      <w:pPr>
        <w:numPr>
          <w:ilvl w:val="2"/>
          <w:numId w:val="6"/>
        </w:numPr>
        <w:tabs>
          <w:tab w:val="left" w:pos="1828"/>
        </w:tabs>
        <w:spacing w:after="120" w:line="312" w:lineRule="auto"/>
        <w:ind w:right="649" w:hanging="449"/>
        <w:rPr>
          <w:spacing w:val="-3"/>
          <w:sz w:val="24"/>
        </w:rPr>
      </w:pPr>
      <w:r w:rsidRPr="008F7275">
        <w:rPr>
          <w:spacing w:val="-3"/>
          <w:sz w:val="24"/>
        </w:rPr>
        <w:t xml:space="preserve">ensuring all critical care nurses are trained and competent to care for level 3 patients to build flexibility within the workforce to meet increased </w:t>
      </w:r>
      <w:r w:rsidR="00115CF9" w:rsidRPr="008F7275">
        <w:rPr>
          <w:spacing w:val="-3"/>
          <w:sz w:val="24"/>
        </w:rPr>
        <w:t>case mix</w:t>
      </w:r>
      <w:r w:rsidRPr="008F7275">
        <w:rPr>
          <w:spacing w:val="-3"/>
          <w:sz w:val="24"/>
        </w:rPr>
        <w:t xml:space="preserve"> acuity within the unit</w:t>
      </w:r>
      <w:r w:rsidR="004174C1">
        <w:rPr>
          <w:spacing w:val="-3"/>
          <w:sz w:val="24"/>
        </w:rPr>
        <w:t>.</w:t>
      </w:r>
    </w:p>
    <w:p w14:paraId="313BD356" w14:textId="1E4D6EA4" w:rsidR="00115CF9" w:rsidRPr="00115CF9" w:rsidRDefault="00EA1AA4" w:rsidP="00115CF9">
      <w:pPr>
        <w:numPr>
          <w:ilvl w:val="2"/>
          <w:numId w:val="6"/>
        </w:numPr>
        <w:tabs>
          <w:tab w:val="left" w:pos="1828"/>
        </w:tabs>
        <w:spacing w:after="120" w:line="312" w:lineRule="auto"/>
        <w:ind w:right="649" w:hanging="449"/>
        <w:rPr>
          <w:spacing w:val="-3"/>
          <w:sz w:val="24"/>
        </w:rPr>
      </w:pPr>
      <w:r w:rsidRPr="00A63B99">
        <w:rPr>
          <w:spacing w:val="-3"/>
          <w:sz w:val="24"/>
        </w:rPr>
        <w:t>redeployment of support staff</w:t>
      </w:r>
      <w:r w:rsidR="00D126A5">
        <w:rPr>
          <w:spacing w:val="-3"/>
          <w:sz w:val="24"/>
        </w:rPr>
        <w:t xml:space="preserve"> and </w:t>
      </w:r>
      <w:r w:rsidR="00D126A5" w:rsidRPr="00F860A7">
        <w:rPr>
          <w:spacing w:val="-3"/>
          <w:sz w:val="24"/>
        </w:rPr>
        <w:t>non-critical care staff</w:t>
      </w:r>
      <w:r w:rsidR="007E0D18">
        <w:rPr>
          <w:spacing w:val="-3"/>
          <w:sz w:val="24"/>
        </w:rPr>
        <w:t xml:space="preserve">, </w:t>
      </w:r>
      <w:r w:rsidR="002C11B8">
        <w:rPr>
          <w:spacing w:val="-3"/>
          <w:sz w:val="24"/>
        </w:rPr>
        <w:t xml:space="preserve">to </w:t>
      </w:r>
      <w:r w:rsidRPr="008F7275">
        <w:rPr>
          <w:spacing w:val="-3"/>
          <w:sz w:val="24"/>
        </w:rPr>
        <w:t>enable cohorted capacity</w:t>
      </w:r>
      <w:r w:rsidR="0068794B">
        <w:rPr>
          <w:spacing w:val="-3"/>
          <w:sz w:val="24"/>
        </w:rPr>
        <w:t>,</w:t>
      </w:r>
      <w:r w:rsidRPr="008F7275">
        <w:rPr>
          <w:spacing w:val="-3"/>
          <w:sz w:val="24"/>
        </w:rPr>
        <w:t xml:space="preserve"> and</w:t>
      </w:r>
      <w:r w:rsidR="0068794B">
        <w:rPr>
          <w:spacing w:val="-3"/>
          <w:sz w:val="24"/>
        </w:rPr>
        <w:t xml:space="preserve"> to meet</w:t>
      </w:r>
      <w:r w:rsidRPr="008F7275">
        <w:rPr>
          <w:spacing w:val="-3"/>
          <w:sz w:val="24"/>
        </w:rPr>
        <w:t xml:space="preserve"> increased </w:t>
      </w:r>
      <w:r w:rsidR="0068794B">
        <w:rPr>
          <w:spacing w:val="-3"/>
          <w:sz w:val="24"/>
        </w:rPr>
        <w:t>demand in number or acuity of patients</w:t>
      </w:r>
      <w:r w:rsidR="004174C1">
        <w:rPr>
          <w:spacing w:val="-3"/>
          <w:sz w:val="24"/>
        </w:rPr>
        <w:t>.</w:t>
      </w:r>
    </w:p>
    <w:p w14:paraId="700F1AC3" w14:textId="5833BAD5" w:rsidR="0068794B" w:rsidRDefault="0068794B" w:rsidP="00EE3FE3">
      <w:pPr>
        <w:pStyle w:val="ListParagraph"/>
        <w:numPr>
          <w:ilvl w:val="1"/>
          <w:numId w:val="20"/>
        </w:numPr>
        <w:spacing w:line="312" w:lineRule="auto"/>
        <w:ind w:left="567" w:hanging="567"/>
        <w:rPr>
          <w:spacing w:val="-10"/>
          <w:sz w:val="24"/>
          <w:szCs w:val="24"/>
        </w:rPr>
      </w:pPr>
      <w:r w:rsidRPr="00CA03B1">
        <w:rPr>
          <w:spacing w:val="-10"/>
          <w:sz w:val="24"/>
          <w:szCs w:val="24"/>
        </w:rPr>
        <w:t xml:space="preserve">Surge conditions </w:t>
      </w:r>
      <w:r w:rsidR="00F63D1F" w:rsidRPr="00CA03B1">
        <w:rPr>
          <w:spacing w:val="-10"/>
          <w:sz w:val="24"/>
          <w:szCs w:val="24"/>
        </w:rPr>
        <w:t xml:space="preserve">can </w:t>
      </w:r>
      <w:r w:rsidRPr="00CA03B1">
        <w:rPr>
          <w:spacing w:val="-10"/>
          <w:sz w:val="24"/>
          <w:szCs w:val="24"/>
        </w:rPr>
        <w:t xml:space="preserve">contribute to </w:t>
      </w:r>
      <w:r w:rsidR="009F6789" w:rsidRPr="00CA03B1">
        <w:rPr>
          <w:spacing w:val="-10"/>
          <w:sz w:val="24"/>
          <w:szCs w:val="24"/>
        </w:rPr>
        <w:t xml:space="preserve">poor mental health and wellbeing in critical care staff and surge support staff. Support should be in place to provide mental health and wellbeing support, including highlighting local, regional and national resources. Means of accessing local psychology and mental health services should be highlighted. </w:t>
      </w:r>
    </w:p>
    <w:p w14:paraId="6E1F6DFD" w14:textId="77777777" w:rsidR="00356ADF" w:rsidRPr="00CA03B1" w:rsidRDefault="00356ADF" w:rsidP="00356ADF">
      <w:pPr>
        <w:pStyle w:val="ListParagraph"/>
        <w:spacing w:line="312" w:lineRule="auto"/>
        <w:ind w:left="567"/>
        <w:rPr>
          <w:spacing w:val="-10"/>
          <w:sz w:val="24"/>
          <w:szCs w:val="24"/>
        </w:rPr>
      </w:pPr>
    </w:p>
    <w:p w14:paraId="43D06D94" w14:textId="61D3D377" w:rsidR="009F6789" w:rsidRPr="00CA03B1" w:rsidRDefault="009F6789" w:rsidP="00EE3FE3">
      <w:pPr>
        <w:pStyle w:val="ListParagraph"/>
        <w:numPr>
          <w:ilvl w:val="1"/>
          <w:numId w:val="20"/>
        </w:numPr>
        <w:spacing w:line="312" w:lineRule="auto"/>
        <w:ind w:left="567" w:hanging="567"/>
        <w:rPr>
          <w:spacing w:val="-10"/>
          <w:sz w:val="24"/>
          <w:szCs w:val="24"/>
        </w:rPr>
      </w:pPr>
      <w:r w:rsidRPr="00CA03B1">
        <w:rPr>
          <w:spacing w:val="-10"/>
          <w:sz w:val="24"/>
          <w:szCs w:val="24"/>
        </w:rPr>
        <w:t xml:space="preserve">Primary prevention of mental health and wellbeing challenges may be supported by ensuring training and support is provided to surge staff, ensuring time is provided for debriefs and reflection even during surge conditions, and </w:t>
      </w:r>
      <w:r w:rsidR="00E41CC8" w:rsidRPr="00CA03B1">
        <w:rPr>
          <w:spacing w:val="-10"/>
          <w:sz w:val="24"/>
          <w:szCs w:val="24"/>
        </w:rPr>
        <w:t>enabling mental health support staff within units (e.g. Professional Nurse Advocates) to deliver their duties.</w:t>
      </w:r>
    </w:p>
    <w:p w14:paraId="3DDB2F5F" w14:textId="77777777" w:rsidR="0068794B" w:rsidRPr="008F7275" w:rsidRDefault="0068794B" w:rsidP="00DD417D">
      <w:pPr>
        <w:tabs>
          <w:tab w:val="left" w:pos="1828"/>
        </w:tabs>
        <w:spacing w:after="120" w:line="237" w:lineRule="auto"/>
        <w:ind w:right="1338"/>
        <w:rPr>
          <w:spacing w:val="-3"/>
          <w:sz w:val="24"/>
        </w:rPr>
      </w:pPr>
    </w:p>
    <w:p w14:paraId="0FBAB19A" w14:textId="77777777" w:rsidR="005E0877" w:rsidRDefault="005E0877" w:rsidP="00EE3FE3">
      <w:pPr>
        <w:pStyle w:val="BodyText"/>
        <w:numPr>
          <w:ilvl w:val="0"/>
          <w:numId w:val="20"/>
        </w:numPr>
        <w:ind w:left="426" w:hanging="426"/>
        <w:rPr>
          <w:b/>
          <w:color w:val="006FC0"/>
          <w:sz w:val="29"/>
        </w:rPr>
      </w:pPr>
      <w:r w:rsidRPr="00180C6F">
        <w:rPr>
          <w:b/>
          <w:color w:val="006FC0"/>
          <w:sz w:val="29"/>
        </w:rPr>
        <w:t>De-escalation and Debrief</w:t>
      </w:r>
    </w:p>
    <w:p w14:paraId="7158C459" w14:textId="77777777" w:rsidR="004174C1" w:rsidRDefault="004174C1" w:rsidP="004174C1">
      <w:pPr>
        <w:pStyle w:val="BodyText"/>
        <w:ind w:left="426"/>
        <w:rPr>
          <w:b/>
          <w:color w:val="006FC0"/>
          <w:sz w:val="29"/>
        </w:rPr>
      </w:pPr>
    </w:p>
    <w:p w14:paraId="1C5B1D0D" w14:textId="77777777" w:rsidR="00356772" w:rsidRPr="004E6350" w:rsidRDefault="00356772" w:rsidP="004E6350">
      <w:pPr>
        <w:pStyle w:val="ListParagraph"/>
        <w:spacing w:after="120" w:line="276" w:lineRule="auto"/>
        <w:ind w:left="1379" w:right="1077"/>
        <w:rPr>
          <w:vanish/>
          <w:spacing w:val="-10"/>
          <w:sz w:val="24"/>
          <w:szCs w:val="24"/>
        </w:rPr>
      </w:pPr>
    </w:p>
    <w:p w14:paraId="6C5B4D96" w14:textId="502C276B" w:rsidR="00F6144C" w:rsidRPr="001013A5" w:rsidRDefault="00180C6F" w:rsidP="00F721EC">
      <w:pPr>
        <w:pStyle w:val="BodyText"/>
        <w:numPr>
          <w:ilvl w:val="1"/>
          <w:numId w:val="20"/>
        </w:numPr>
        <w:spacing w:after="120" w:line="312" w:lineRule="auto"/>
        <w:ind w:left="567" w:right="-59" w:hanging="567"/>
        <w:rPr>
          <w:vanish/>
          <w:spacing w:val="-10"/>
        </w:rPr>
      </w:pPr>
      <w:r w:rsidRPr="001013A5">
        <w:rPr>
          <w:spacing w:val="-10"/>
        </w:rPr>
        <w:t>As pressure and demand on Adult Critical Care services reduces there should be a clear staged approach to de-escalation across systems</w:t>
      </w:r>
      <w:r w:rsidR="0037317B" w:rsidRPr="001013A5">
        <w:rPr>
          <w:spacing w:val="-10"/>
        </w:rPr>
        <w:t xml:space="preserve"> and the production of lessons learnt documentation for cascade</w:t>
      </w:r>
      <w:r w:rsidRPr="001013A5">
        <w:rPr>
          <w:spacing w:val="-10"/>
        </w:rPr>
        <w:t>. An essential part of this process is to ensure all staff are able to participate in reflective debrief sessions to identify good practice, to set out opportunities for learning and to ensure staff are able to access health and wellbeing support. Feedback from the debrief sessions should be used to update plans to ensure continuous improvement and ideally lead to a reduction in future occasions where escalation plans need to be activated.</w:t>
      </w:r>
      <w:bookmarkStart w:id="4" w:name="_Hlk85003785"/>
    </w:p>
    <w:p w14:paraId="136C648B" w14:textId="77777777" w:rsidR="001013A5" w:rsidRPr="001013A5" w:rsidRDefault="001013A5" w:rsidP="00F721EC">
      <w:pPr>
        <w:pStyle w:val="BodyText"/>
        <w:spacing w:after="120" w:line="276" w:lineRule="auto"/>
        <w:ind w:left="567" w:right="-59"/>
        <w:rPr>
          <w:vanish/>
          <w:spacing w:val="-10"/>
        </w:rPr>
      </w:pPr>
    </w:p>
    <w:p w14:paraId="11DCC7E4" w14:textId="77777777" w:rsidR="004174C1" w:rsidRDefault="004174C1" w:rsidP="00F721EC">
      <w:pPr>
        <w:pStyle w:val="BodyText"/>
        <w:ind w:right="-59"/>
        <w:rPr>
          <w:b/>
          <w:color w:val="006FC0"/>
          <w:sz w:val="29"/>
        </w:rPr>
      </w:pPr>
    </w:p>
    <w:p w14:paraId="6F4F688B" w14:textId="285119A2" w:rsidR="002F4645" w:rsidRDefault="002F4645">
      <w:pPr>
        <w:rPr>
          <w:b/>
          <w:color w:val="006FC0"/>
          <w:sz w:val="29"/>
          <w:szCs w:val="24"/>
        </w:rPr>
      </w:pPr>
      <w:r>
        <w:rPr>
          <w:b/>
          <w:color w:val="006FC0"/>
          <w:sz w:val="29"/>
        </w:rPr>
        <w:br w:type="page"/>
      </w:r>
    </w:p>
    <w:p w14:paraId="4A5132D8" w14:textId="77777777" w:rsidR="004174C1" w:rsidRDefault="004174C1" w:rsidP="004174C1">
      <w:pPr>
        <w:pStyle w:val="BodyText"/>
        <w:rPr>
          <w:b/>
          <w:color w:val="006FC0"/>
          <w:sz w:val="29"/>
        </w:rPr>
      </w:pPr>
    </w:p>
    <w:p w14:paraId="5F52B23A" w14:textId="77A50C7B" w:rsidR="001013A5" w:rsidRDefault="005E0877" w:rsidP="00EE3FE3">
      <w:pPr>
        <w:pStyle w:val="BodyText"/>
        <w:numPr>
          <w:ilvl w:val="0"/>
          <w:numId w:val="20"/>
        </w:numPr>
        <w:ind w:left="426" w:hanging="426"/>
        <w:rPr>
          <w:b/>
          <w:color w:val="006FC0"/>
          <w:sz w:val="29"/>
        </w:rPr>
      </w:pPr>
      <w:r w:rsidRPr="0059508E">
        <w:rPr>
          <w:b/>
          <w:color w:val="006FC0"/>
          <w:sz w:val="29"/>
        </w:rPr>
        <w:t>Interdependent services</w:t>
      </w:r>
    </w:p>
    <w:p w14:paraId="1B41F08B" w14:textId="77777777" w:rsidR="004174C1" w:rsidRDefault="004174C1" w:rsidP="004174C1">
      <w:pPr>
        <w:pStyle w:val="BodyText"/>
        <w:ind w:left="426"/>
        <w:rPr>
          <w:b/>
          <w:color w:val="006FC0"/>
          <w:sz w:val="29"/>
        </w:rPr>
      </w:pPr>
    </w:p>
    <w:p w14:paraId="4C464A2E" w14:textId="77777777" w:rsidR="001F0823" w:rsidRPr="004E6350" w:rsidRDefault="001F0823" w:rsidP="004E6350">
      <w:pPr>
        <w:pStyle w:val="ListParagraph"/>
        <w:spacing w:after="120" w:line="276" w:lineRule="auto"/>
        <w:ind w:left="1379" w:right="1077"/>
        <w:rPr>
          <w:vanish/>
          <w:spacing w:val="-10"/>
          <w:sz w:val="24"/>
          <w:szCs w:val="24"/>
        </w:rPr>
      </w:pPr>
    </w:p>
    <w:p w14:paraId="069EBB85" w14:textId="77777777" w:rsidR="00A01496" w:rsidRDefault="00180C6F" w:rsidP="00A01496">
      <w:pPr>
        <w:pStyle w:val="BodyText"/>
        <w:numPr>
          <w:ilvl w:val="1"/>
          <w:numId w:val="20"/>
        </w:numPr>
        <w:spacing w:line="312" w:lineRule="auto"/>
        <w:ind w:left="567" w:hanging="567"/>
        <w:rPr>
          <w:spacing w:val="-10"/>
        </w:rPr>
      </w:pPr>
      <w:r w:rsidRPr="001F0823">
        <w:rPr>
          <w:spacing w:val="-10"/>
        </w:rPr>
        <w:t>It is recognised that there are complex interdependencies between Adult Critical Care and other services, which require close oversight and coordination at a national, regional and system level</w:t>
      </w:r>
      <w:r w:rsidR="0037317B" w:rsidRPr="001F0823">
        <w:rPr>
          <w:spacing w:val="-10"/>
        </w:rPr>
        <w:t xml:space="preserve"> (e.g. ECMO or PICU)</w:t>
      </w:r>
      <w:r w:rsidRPr="001F0823">
        <w:rPr>
          <w:spacing w:val="-10"/>
        </w:rPr>
        <w:t xml:space="preserve">. When one service </w:t>
      </w:r>
      <w:r w:rsidR="00E65CE0" w:rsidRPr="001F0823">
        <w:rPr>
          <w:spacing w:val="-10"/>
        </w:rPr>
        <w:t>is experiencing increased demand, it is likely that other or all services will be under the same level of increased pressure.</w:t>
      </w:r>
    </w:p>
    <w:p w14:paraId="7DB3D952" w14:textId="77777777" w:rsidR="004174C1" w:rsidRDefault="004174C1" w:rsidP="004174C1">
      <w:pPr>
        <w:pStyle w:val="BodyText"/>
        <w:spacing w:line="312" w:lineRule="auto"/>
        <w:ind w:left="567"/>
        <w:rPr>
          <w:spacing w:val="-10"/>
        </w:rPr>
      </w:pPr>
    </w:p>
    <w:p w14:paraId="34E95570" w14:textId="77777777" w:rsidR="00A01496" w:rsidRPr="004E6350" w:rsidRDefault="00A01496" w:rsidP="004E6350">
      <w:pPr>
        <w:pStyle w:val="BodyText"/>
        <w:spacing w:after="120" w:line="276" w:lineRule="auto"/>
        <w:ind w:left="567" w:right="1077"/>
        <w:rPr>
          <w:vanish/>
          <w:spacing w:val="-10"/>
        </w:rPr>
      </w:pPr>
    </w:p>
    <w:p w14:paraId="29399094" w14:textId="77777777" w:rsidR="00A01496" w:rsidRPr="004E6350" w:rsidRDefault="00E65CE0" w:rsidP="00A01496">
      <w:pPr>
        <w:pStyle w:val="BodyText"/>
        <w:numPr>
          <w:ilvl w:val="1"/>
          <w:numId w:val="20"/>
        </w:numPr>
        <w:spacing w:line="312" w:lineRule="auto"/>
        <w:ind w:left="567" w:hanging="567"/>
        <w:rPr>
          <w:spacing w:val="-10"/>
        </w:rPr>
      </w:pPr>
      <w:r w:rsidRPr="00A01496">
        <w:rPr>
          <w:spacing w:val="-10"/>
        </w:rPr>
        <w:t xml:space="preserve">The coordination of capacity for interdependent services is a responsibility of the </w:t>
      </w:r>
      <w:r w:rsidR="006D0585" w:rsidRPr="00A01496">
        <w:rPr>
          <w:spacing w:val="-10"/>
        </w:rPr>
        <w:t xml:space="preserve">national </w:t>
      </w:r>
      <w:r w:rsidRPr="00A01496">
        <w:rPr>
          <w:spacing w:val="-10"/>
        </w:rPr>
        <w:t>Adult Critical Care Capacity Panel</w:t>
      </w:r>
      <w:r w:rsidR="006D0585" w:rsidRPr="00A01496">
        <w:rPr>
          <w:spacing w:val="-10"/>
        </w:rPr>
        <w:t>. A</w:t>
      </w:r>
      <w:r w:rsidRPr="00A01496">
        <w:rPr>
          <w:spacing w:val="-10"/>
        </w:rPr>
        <w:t>s such capacity and demand for the interdependent services will be reported by Regions to this group, escalating concerns at the earliest opportunity. This will enable the coordination and prioritisation of staffing resource and estate capacity to maintain equitable service provision.</w:t>
      </w:r>
      <w:bookmarkEnd w:id="4"/>
    </w:p>
    <w:p w14:paraId="206C4A92" w14:textId="77777777" w:rsidR="00A01496" w:rsidRDefault="00A01496" w:rsidP="00A01496">
      <w:pPr>
        <w:pStyle w:val="ListParagraph"/>
        <w:rPr>
          <w:spacing w:val="-10"/>
        </w:rPr>
      </w:pPr>
    </w:p>
    <w:p w14:paraId="0A9E0985" w14:textId="2002DF34" w:rsidR="00653372" w:rsidRDefault="00653372" w:rsidP="00A01496">
      <w:pPr>
        <w:pStyle w:val="BodyText"/>
        <w:numPr>
          <w:ilvl w:val="1"/>
          <w:numId w:val="20"/>
        </w:numPr>
        <w:spacing w:line="312" w:lineRule="auto"/>
        <w:ind w:left="567" w:hanging="567"/>
        <w:rPr>
          <w:spacing w:val="-10"/>
        </w:rPr>
      </w:pPr>
      <w:r w:rsidRPr="00A01496">
        <w:rPr>
          <w:spacing w:val="-10"/>
        </w:rPr>
        <w:t>P</w:t>
      </w:r>
      <w:r w:rsidR="0068194E" w:rsidRPr="00A01496">
        <w:rPr>
          <w:spacing w:val="-10"/>
        </w:rPr>
        <w:t xml:space="preserve">lans </w:t>
      </w:r>
      <w:r w:rsidRPr="00A01496">
        <w:rPr>
          <w:spacing w:val="-10"/>
        </w:rPr>
        <w:t>have been developed for the six interdependent specialised services which would provide direct care to a rapidly rising number of patients within an adult critical care setting, in a surge scenario. They are listed here and links to further information are included</w:t>
      </w:r>
      <w:r w:rsidR="00F6144C" w:rsidRPr="00A01496">
        <w:rPr>
          <w:spacing w:val="-10"/>
        </w:rPr>
        <w:t>.</w:t>
      </w:r>
      <w:r w:rsidRPr="00A01496">
        <w:rPr>
          <w:spacing w:val="-10"/>
        </w:rPr>
        <w:t xml:space="preserve"> </w:t>
      </w:r>
    </w:p>
    <w:p w14:paraId="6F280439" w14:textId="77777777" w:rsidR="00C9268F" w:rsidRPr="004E6350" w:rsidRDefault="00C9268F" w:rsidP="00C9268F">
      <w:pPr>
        <w:pStyle w:val="BodyText"/>
        <w:spacing w:line="312" w:lineRule="auto"/>
        <w:rPr>
          <w:spacing w:val="-10"/>
        </w:rPr>
      </w:pPr>
    </w:p>
    <w:p w14:paraId="78557A0D" w14:textId="77777777" w:rsidR="004E6350" w:rsidRPr="004E6350" w:rsidRDefault="004E6350" w:rsidP="004E6350">
      <w:pPr>
        <w:pStyle w:val="BodyText"/>
        <w:spacing w:after="120" w:line="276" w:lineRule="auto"/>
        <w:ind w:left="567" w:right="1077"/>
        <w:rPr>
          <w:vanish/>
          <w:spacing w:val="-10"/>
        </w:rPr>
      </w:pPr>
    </w:p>
    <w:p w14:paraId="120C9286" w14:textId="68B3201E" w:rsidR="0068194E" w:rsidRPr="008F7275" w:rsidRDefault="000D260B" w:rsidP="00EE3FE3">
      <w:pPr>
        <w:numPr>
          <w:ilvl w:val="2"/>
          <w:numId w:val="12"/>
        </w:numPr>
        <w:spacing w:after="120" w:line="237" w:lineRule="auto"/>
        <w:ind w:right="1338" w:hanging="449"/>
        <w:rPr>
          <w:spacing w:val="-3"/>
          <w:sz w:val="24"/>
        </w:rPr>
      </w:pPr>
      <w:hyperlink r:id="rId27" w:history="1">
        <w:r w:rsidR="0068194E" w:rsidRPr="00556150">
          <w:rPr>
            <w:rStyle w:val="Hyperlink"/>
            <w:spacing w:val="-3"/>
            <w:sz w:val="24"/>
          </w:rPr>
          <w:t>Respiratory Extracorporeal Membrane Oxygenation</w:t>
        </w:r>
      </w:hyperlink>
      <w:r w:rsidR="0068194E" w:rsidRPr="008F7275">
        <w:rPr>
          <w:spacing w:val="-3"/>
          <w:sz w:val="24"/>
        </w:rPr>
        <w:t xml:space="preserve"> (ECMO)</w:t>
      </w:r>
    </w:p>
    <w:p w14:paraId="075DE185" w14:textId="2A0AB979" w:rsidR="0068194E" w:rsidRPr="008F7275" w:rsidRDefault="000D260B" w:rsidP="00EE3FE3">
      <w:pPr>
        <w:numPr>
          <w:ilvl w:val="2"/>
          <w:numId w:val="12"/>
        </w:numPr>
        <w:spacing w:after="120" w:line="237" w:lineRule="auto"/>
        <w:ind w:right="1338" w:hanging="449"/>
        <w:rPr>
          <w:spacing w:val="-3"/>
          <w:sz w:val="24"/>
        </w:rPr>
      </w:pPr>
      <w:hyperlink r:id="rId28" w:history="1">
        <w:r w:rsidR="0068194E" w:rsidRPr="00556150">
          <w:rPr>
            <w:rStyle w:val="Hyperlink"/>
            <w:spacing w:val="-3"/>
            <w:sz w:val="24"/>
          </w:rPr>
          <w:t>Renal Replacement Therapy in Critical Care</w:t>
        </w:r>
      </w:hyperlink>
    </w:p>
    <w:p w14:paraId="469A1E04" w14:textId="0ED33AB4" w:rsidR="0068194E" w:rsidRPr="008F7275" w:rsidRDefault="000D260B" w:rsidP="00EE3FE3">
      <w:pPr>
        <w:numPr>
          <w:ilvl w:val="2"/>
          <w:numId w:val="12"/>
        </w:numPr>
        <w:spacing w:after="120" w:line="237" w:lineRule="auto"/>
        <w:ind w:right="1338" w:hanging="449"/>
        <w:rPr>
          <w:spacing w:val="-3"/>
          <w:sz w:val="24"/>
        </w:rPr>
      </w:pPr>
      <w:hyperlink r:id="rId29" w:history="1">
        <w:r w:rsidR="0068194E" w:rsidRPr="00556150">
          <w:rPr>
            <w:rStyle w:val="Hyperlink"/>
            <w:spacing w:val="-3"/>
            <w:sz w:val="24"/>
          </w:rPr>
          <w:t>Burns</w:t>
        </w:r>
      </w:hyperlink>
    </w:p>
    <w:p w14:paraId="0BE3E423" w14:textId="240DDFF0" w:rsidR="008D776D" w:rsidRPr="008F7275" w:rsidRDefault="000D260B" w:rsidP="00EE3FE3">
      <w:pPr>
        <w:numPr>
          <w:ilvl w:val="2"/>
          <w:numId w:val="12"/>
        </w:numPr>
        <w:spacing w:after="120" w:line="237" w:lineRule="auto"/>
        <w:ind w:right="1338" w:hanging="449"/>
        <w:rPr>
          <w:spacing w:val="-3"/>
          <w:sz w:val="24"/>
        </w:rPr>
      </w:pPr>
      <w:hyperlink r:id="rId30" w:history="1">
        <w:r w:rsidR="0068194E" w:rsidRPr="00556150">
          <w:rPr>
            <w:rStyle w:val="Hyperlink"/>
            <w:spacing w:val="-3"/>
            <w:sz w:val="24"/>
          </w:rPr>
          <w:t>Paediatric Intensive Care</w:t>
        </w:r>
      </w:hyperlink>
      <w:r w:rsidR="0068194E" w:rsidRPr="008F7275">
        <w:rPr>
          <w:spacing w:val="-3"/>
          <w:sz w:val="24"/>
        </w:rPr>
        <w:t xml:space="preserve"> </w:t>
      </w:r>
    </w:p>
    <w:p w14:paraId="4F141F17" w14:textId="2676293D" w:rsidR="008D776D" w:rsidRDefault="000D260B" w:rsidP="00EE3FE3">
      <w:pPr>
        <w:numPr>
          <w:ilvl w:val="2"/>
          <w:numId w:val="12"/>
        </w:numPr>
        <w:spacing w:after="120" w:line="237" w:lineRule="auto"/>
        <w:ind w:right="1338" w:hanging="449"/>
        <w:rPr>
          <w:spacing w:val="-3"/>
          <w:sz w:val="24"/>
        </w:rPr>
      </w:pPr>
      <w:hyperlink r:id="rId31" w:history="1">
        <w:r w:rsidR="008D776D" w:rsidRPr="0061514E">
          <w:rPr>
            <w:rStyle w:val="Hyperlink"/>
            <w:spacing w:val="-3"/>
            <w:sz w:val="24"/>
          </w:rPr>
          <w:t>Adult Tran</w:t>
        </w:r>
        <w:r w:rsidR="0037317B" w:rsidRPr="0061514E">
          <w:rPr>
            <w:rStyle w:val="Hyperlink"/>
            <w:spacing w:val="-3"/>
            <w:sz w:val="24"/>
          </w:rPr>
          <w:t>sfer</w:t>
        </w:r>
        <w:r w:rsidR="008D776D" w:rsidRPr="0061514E">
          <w:rPr>
            <w:rStyle w:val="Hyperlink"/>
            <w:spacing w:val="-3"/>
            <w:sz w:val="24"/>
          </w:rPr>
          <w:t xml:space="preserve"> Services</w:t>
        </w:r>
      </w:hyperlink>
    </w:p>
    <w:p w14:paraId="16B7266F" w14:textId="325C60EB" w:rsidR="005E0877" w:rsidRDefault="000D260B" w:rsidP="00EE3FE3">
      <w:pPr>
        <w:numPr>
          <w:ilvl w:val="2"/>
          <w:numId w:val="12"/>
        </w:numPr>
        <w:spacing w:after="120" w:line="237" w:lineRule="auto"/>
        <w:ind w:right="1338" w:hanging="449"/>
        <w:rPr>
          <w:spacing w:val="-3"/>
          <w:sz w:val="24"/>
        </w:rPr>
      </w:pPr>
      <w:hyperlink r:id="rId32" w:history="1">
        <w:r w:rsidR="00664E9C" w:rsidRPr="0061514E">
          <w:rPr>
            <w:rStyle w:val="Hyperlink"/>
            <w:spacing w:val="-3"/>
            <w:sz w:val="24"/>
          </w:rPr>
          <w:t>Solid Organ Transplant services</w:t>
        </w:r>
      </w:hyperlink>
    </w:p>
    <w:p w14:paraId="1CE75097" w14:textId="75E222C2" w:rsidR="00664E9C" w:rsidRPr="00657023" w:rsidRDefault="00664E9C" w:rsidP="00657023">
      <w:pPr>
        <w:pStyle w:val="ListParagraph"/>
        <w:tabs>
          <w:tab w:val="left" w:pos="1379"/>
          <w:tab w:val="left" w:pos="1380"/>
        </w:tabs>
        <w:spacing w:before="92" w:line="244" w:lineRule="auto"/>
        <w:ind w:left="1421" w:right="1080"/>
        <w:rPr>
          <w:color w:val="7030A0"/>
        </w:rPr>
      </w:pPr>
      <w:bookmarkStart w:id="5" w:name="_Hlk79065741"/>
    </w:p>
    <w:p w14:paraId="4ECF5F1B" w14:textId="778EF05C" w:rsidR="00F6481E" w:rsidRDefault="008B466A" w:rsidP="001548BD">
      <w:pPr>
        <w:pStyle w:val="BodyText"/>
        <w:numPr>
          <w:ilvl w:val="0"/>
          <w:numId w:val="20"/>
        </w:numPr>
        <w:ind w:left="426" w:hanging="426"/>
        <w:rPr>
          <w:b/>
          <w:color w:val="006FC0"/>
          <w:sz w:val="29"/>
        </w:rPr>
      </w:pPr>
      <w:r w:rsidRPr="001548BD">
        <w:rPr>
          <w:b/>
          <w:color w:val="006FC0"/>
          <w:sz w:val="29"/>
        </w:rPr>
        <w:t>Supporting information</w:t>
      </w:r>
    </w:p>
    <w:p w14:paraId="4D827105" w14:textId="77777777" w:rsidR="00C9268F" w:rsidRPr="001548BD" w:rsidRDefault="00C9268F" w:rsidP="00C9268F">
      <w:pPr>
        <w:pStyle w:val="BodyText"/>
        <w:ind w:left="426"/>
        <w:rPr>
          <w:b/>
          <w:color w:val="006FC0"/>
          <w:sz w:val="29"/>
        </w:rPr>
      </w:pPr>
    </w:p>
    <w:p w14:paraId="2BEE6EBE" w14:textId="77777777" w:rsidR="005C7838" w:rsidRPr="001548BD" w:rsidRDefault="005C7838" w:rsidP="001548BD">
      <w:pPr>
        <w:pStyle w:val="BodyText"/>
        <w:spacing w:after="120" w:line="276" w:lineRule="auto"/>
        <w:ind w:left="567" w:right="1077"/>
        <w:rPr>
          <w:vanish/>
          <w:spacing w:val="-10"/>
        </w:rPr>
      </w:pPr>
    </w:p>
    <w:p w14:paraId="0B178282" w14:textId="7509944E" w:rsidR="005C7838" w:rsidRPr="005C7838" w:rsidRDefault="005C7838" w:rsidP="001548BD">
      <w:pPr>
        <w:pStyle w:val="ListParagraph"/>
        <w:numPr>
          <w:ilvl w:val="1"/>
          <w:numId w:val="7"/>
        </w:numPr>
        <w:ind w:left="567" w:hanging="567"/>
        <w:rPr>
          <w:color w:val="231F20"/>
          <w:sz w:val="24"/>
          <w:szCs w:val="24"/>
        </w:rPr>
      </w:pPr>
      <w:r w:rsidRPr="001548BD">
        <w:rPr>
          <w:spacing w:val="-10"/>
          <w:sz w:val="24"/>
          <w:szCs w:val="24"/>
        </w:rPr>
        <w:t>OPEL and CRITCON score and definitions</w:t>
      </w:r>
      <w:r w:rsidR="006937DA">
        <w:rPr>
          <w:spacing w:val="-10"/>
          <w:sz w:val="24"/>
          <w:szCs w:val="24"/>
        </w:rPr>
        <w:t>.</w:t>
      </w:r>
    </w:p>
    <w:p w14:paraId="6BE61D9C" w14:textId="77777777" w:rsidR="00B579A4" w:rsidRPr="001548BD" w:rsidRDefault="00B579A4" w:rsidP="001548BD">
      <w:pPr>
        <w:pStyle w:val="BodyText"/>
        <w:spacing w:after="120" w:line="276" w:lineRule="auto"/>
        <w:ind w:left="567" w:right="1077"/>
        <w:rPr>
          <w:vanish/>
          <w:spacing w:val="-10"/>
        </w:rPr>
      </w:pPr>
    </w:p>
    <w:p w14:paraId="4B6C37DA" w14:textId="77777777" w:rsidR="005C7838" w:rsidRPr="003D0166" w:rsidRDefault="000D260B" w:rsidP="005C7838">
      <w:pPr>
        <w:pStyle w:val="ListBullet"/>
        <w:rPr>
          <w:rStyle w:val="Hyperlink"/>
        </w:rPr>
      </w:pPr>
      <w:hyperlink r:id="rId33" w:history="1">
        <w:r w:rsidR="005C7838" w:rsidRPr="003D0166">
          <w:rPr>
            <w:rStyle w:val="Hyperlink"/>
          </w:rPr>
          <w:t>OPEL definitions</w:t>
        </w:r>
      </w:hyperlink>
    </w:p>
    <w:p w14:paraId="11A771CD" w14:textId="77777777" w:rsidR="005C7838" w:rsidRPr="005B46B1" w:rsidRDefault="000D260B" w:rsidP="005C7838">
      <w:pPr>
        <w:pStyle w:val="ListBullet"/>
        <w:rPr>
          <w:rStyle w:val="Hyperlink"/>
          <w:color w:val="231F20"/>
          <w:u w:val="none"/>
        </w:rPr>
      </w:pPr>
      <w:hyperlink r:id="rId34" w:history="1">
        <w:r w:rsidR="005C7838" w:rsidRPr="00397972">
          <w:rPr>
            <w:rStyle w:val="Hyperlink"/>
          </w:rPr>
          <w:t>CRITCON definitions</w:t>
        </w:r>
      </w:hyperlink>
    </w:p>
    <w:p w14:paraId="1127E246" w14:textId="053D4EE2" w:rsidR="005B46B1" w:rsidRDefault="005B46B1">
      <w:pPr>
        <w:rPr>
          <w:rStyle w:val="Hyperlink"/>
          <w:u w:val="none"/>
        </w:rPr>
      </w:pPr>
    </w:p>
    <w:p w14:paraId="526F124B" w14:textId="77777777" w:rsidR="00C9268F" w:rsidRDefault="00C9268F">
      <w:pPr>
        <w:rPr>
          <w:rStyle w:val="Hyperlink"/>
          <w:u w:val="none"/>
        </w:rPr>
      </w:pPr>
    </w:p>
    <w:p w14:paraId="2F5A67EA" w14:textId="3A513F4B" w:rsidR="00C9268F" w:rsidRDefault="00C9268F">
      <w:pPr>
        <w:rPr>
          <w:rStyle w:val="Hyperlink"/>
          <w:u w:val="none"/>
        </w:rPr>
      </w:pPr>
      <w:r>
        <w:rPr>
          <w:rStyle w:val="Hyperlink"/>
          <w:u w:val="none"/>
        </w:rPr>
        <w:br w:type="page"/>
      </w:r>
    </w:p>
    <w:p w14:paraId="41A7E1A6" w14:textId="77777777" w:rsidR="00A36017" w:rsidRPr="001548BD" w:rsidRDefault="00A36017" w:rsidP="001548BD">
      <w:pPr>
        <w:pStyle w:val="BodyText"/>
        <w:spacing w:after="120" w:line="276" w:lineRule="auto"/>
        <w:ind w:left="567" w:right="1077"/>
        <w:rPr>
          <w:vanish/>
          <w:spacing w:val="-10"/>
        </w:rPr>
      </w:pPr>
    </w:p>
    <w:p w14:paraId="1F8B5D58" w14:textId="067FF6C5" w:rsidR="009739E3" w:rsidRPr="00157E4B" w:rsidRDefault="009739E3" w:rsidP="00157E4B">
      <w:pPr>
        <w:pStyle w:val="BodyText"/>
        <w:spacing w:after="120" w:line="276" w:lineRule="auto"/>
        <w:ind w:left="567" w:right="1077"/>
        <w:rPr>
          <w:vanish/>
          <w:spacing w:val="-10"/>
        </w:rPr>
      </w:pPr>
    </w:p>
    <w:p w14:paraId="59E4E284" w14:textId="47C0DBE8" w:rsidR="005B46B1" w:rsidRDefault="005B46B1">
      <w:pPr>
        <w:rPr>
          <w:vanish/>
          <w:spacing w:val="-10"/>
          <w:sz w:val="24"/>
          <w:szCs w:val="24"/>
        </w:rPr>
      </w:pPr>
      <w:r>
        <w:rPr>
          <w:vanish/>
          <w:spacing w:val="-10"/>
        </w:rPr>
        <w:br w:type="page"/>
      </w:r>
    </w:p>
    <w:p w14:paraId="4CC135BD" w14:textId="77777777" w:rsidR="002C1F91" w:rsidRPr="00157E4B" w:rsidRDefault="002C1F91" w:rsidP="00157E4B">
      <w:pPr>
        <w:pStyle w:val="BodyText"/>
        <w:spacing w:after="120" w:line="276" w:lineRule="auto"/>
        <w:ind w:left="567" w:right="1077"/>
        <w:rPr>
          <w:vanish/>
          <w:spacing w:val="-10"/>
        </w:rPr>
      </w:pPr>
    </w:p>
    <w:p w14:paraId="0B7AEBC7" w14:textId="06BFDD13" w:rsidR="00D06668" w:rsidRDefault="00D06668" w:rsidP="00157E4B">
      <w:pPr>
        <w:pStyle w:val="BodyText"/>
        <w:numPr>
          <w:ilvl w:val="0"/>
          <w:numId w:val="20"/>
        </w:numPr>
        <w:ind w:left="426" w:hanging="426"/>
        <w:rPr>
          <w:b/>
          <w:color w:val="006FC0"/>
          <w:sz w:val="29"/>
        </w:rPr>
      </w:pPr>
      <w:r w:rsidRPr="00157E4B">
        <w:rPr>
          <w:b/>
          <w:color w:val="006FC0"/>
          <w:sz w:val="29"/>
        </w:rPr>
        <w:t>Glossary</w:t>
      </w:r>
    </w:p>
    <w:p w14:paraId="282BDD5B" w14:textId="77777777" w:rsidR="00C9268F" w:rsidRPr="00157E4B" w:rsidRDefault="00C9268F" w:rsidP="00C9268F">
      <w:pPr>
        <w:pStyle w:val="BodyText"/>
        <w:ind w:left="426"/>
        <w:rPr>
          <w:b/>
          <w:color w:val="006FC0"/>
          <w:sz w:val="29"/>
        </w:rPr>
      </w:pPr>
    </w:p>
    <w:p w14:paraId="0990E7F7" w14:textId="77777777" w:rsidR="008E7A49" w:rsidRPr="005B46B1" w:rsidRDefault="008E7A49" w:rsidP="005B46B1">
      <w:pPr>
        <w:pStyle w:val="BodyText"/>
        <w:spacing w:after="120" w:line="276" w:lineRule="auto"/>
        <w:ind w:left="567" w:right="1077"/>
        <w:rPr>
          <w:vanish/>
          <w:spacing w:val="-10"/>
        </w:rPr>
      </w:pPr>
    </w:p>
    <w:tbl>
      <w:tblPr>
        <w:tblStyle w:val="TableGrid"/>
        <w:tblW w:w="4622" w:type="pct"/>
        <w:tblInd w:w="279" w:type="dxa"/>
        <w:tblLook w:val="04A0" w:firstRow="1" w:lastRow="0" w:firstColumn="1" w:lastColumn="0" w:noHBand="0" w:noVBand="1"/>
      </w:tblPr>
      <w:tblGrid>
        <w:gridCol w:w="2125"/>
        <w:gridCol w:w="7246"/>
      </w:tblGrid>
      <w:tr w:rsidR="005C6A0B" w:rsidRPr="001B4C50" w14:paraId="313B26A3" w14:textId="49C05A5E" w:rsidTr="005C1A21">
        <w:tc>
          <w:tcPr>
            <w:tcW w:w="1134" w:type="pct"/>
            <w:shd w:val="clear" w:color="auto" w:fill="548DD4" w:themeFill="text2" w:themeFillTint="99"/>
          </w:tcPr>
          <w:p w14:paraId="2063D6FB" w14:textId="771571AA" w:rsidR="00D06668" w:rsidRPr="001B4C50" w:rsidRDefault="00D06668" w:rsidP="00533411">
            <w:pPr>
              <w:pStyle w:val="ListParagraph"/>
              <w:tabs>
                <w:tab w:val="left" w:pos="1379"/>
                <w:tab w:val="left" w:pos="1380"/>
              </w:tabs>
              <w:spacing w:before="92" w:line="244" w:lineRule="auto"/>
              <w:ind w:right="1080"/>
              <w:jc w:val="center"/>
              <w:rPr>
                <w:b/>
                <w:bCs/>
                <w:color w:val="FFFFFF" w:themeColor="background1"/>
                <w:spacing w:val="-10"/>
              </w:rPr>
            </w:pPr>
            <w:r>
              <w:rPr>
                <w:b/>
                <w:bCs/>
                <w:color w:val="FFFFFF" w:themeColor="background1"/>
                <w:spacing w:val="-10"/>
              </w:rPr>
              <w:t>Phrase</w:t>
            </w:r>
          </w:p>
        </w:tc>
        <w:tc>
          <w:tcPr>
            <w:tcW w:w="3866" w:type="pct"/>
            <w:shd w:val="clear" w:color="auto" w:fill="548DD4" w:themeFill="text2" w:themeFillTint="99"/>
          </w:tcPr>
          <w:p w14:paraId="73579A91" w14:textId="372C5244" w:rsidR="00D06668" w:rsidRPr="001B4C50" w:rsidRDefault="00D06668" w:rsidP="00533411">
            <w:pPr>
              <w:pStyle w:val="ListParagraph"/>
              <w:tabs>
                <w:tab w:val="left" w:pos="1379"/>
                <w:tab w:val="left" w:pos="1380"/>
              </w:tabs>
              <w:spacing w:before="92" w:line="244" w:lineRule="auto"/>
              <w:ind w:right="1080"/>
              <w:jc w:val="center"/>
              <w:rPr>
                <w:b/>
                <w:bCs/>
                <w:color w:val="FFFFFF" w:themeColor="background1"/>
                <w:spacing w:val="-10"/>
              </w:rPr>
            </w:pPr>
            <w:r>
              <w:rPr>
                <w:b/>
                <w:bCs/>
                <w:color w:val="FFFFFF" w:themeColor="background1"/>
                <w:spacing w:val="-10"/>
              </w:rPr>
              <w:t>Definition</w:t>
            </w:r>
          </w:p>
        </w:tc>
      </w:tr>
      <w:tr w:rsidR="005C6A0B" w:rsidRPr="001B4C50" w14:paraId="2C213194" w14:textId="2677E958" w:rsidTr="005C1A21">
        <w:tc>
          <w:tcPr>
            <w:tcW w:w="1134" w:type="pct"/>
          </w:tcPr>
          <w:p w14:paraId="454611AF" w14:textId="20C7BFBA" w:rsidR="00D06668" w:rsidRPr="003806E3" w:rsidRDefault="00403B9D" w:rsidP="00533411">
            <w:pPr>
              <w:tabs>
                <w:tab w:val="left" w:pos="1379"/>
                <w:tab w:val="left" w:pos="1380"/>
              </w:tabs>
              <w:spacing w:before="73"/>
              <w:rPr>
                <w:bCs/>
              </w:rPr>
            </w:pPr>
            <w:r>
              <w:rPr>
                <w:bCs/>
              </w:rPr>
              <w:t>Adult Critical Care</w:t>
            </w:r>
          </w:p>
        </w:tc>
        <w:tc>
          <w:tcPr>
            <w:tcW w:w="3866" w:type="pct"/>
          </w:tcPr>
          <w:p w14:paraId="613F909C" w14:textId="5741C254" w:rsidR="00D06668" w:rsidRDefault="00403B9D" w:rsidP="00533411">
            <w:pPr>
              <w:tabs>
                <w:tab w:val="left" w:pos="1379"/>
                <w:tab w:val="left" w:pos="1380"/>
              </w:tabs>
              <w:spacing w:before="73"/>
              <w:rPr>
                <w:bCs/>
              </w:rPr>
            </w:pPr>
            <w:r>
              <w:rPr>
                <w:bCs/>
              </w:rPr>
              <w:t>As set out in</w:t>
            </w:r>
            <w:r w:rsidR="00637EC7">
              <w:rPr>
                <w:bCs/>
              </w:rPr>
              <w:t xml:space="preserve"> </w:t>
            </w:r>
            <w:r>
              <w:rPr>
                <w:bCs/>
              </w:rPr>
              <w:t xml:space="preserve">ICS Consensus statement included on page </w:t>
            </w:r>
            <w:r w:rsidR="00637EC7">
              <w:rPr>
                <w:bCs/>
              </w:rPr>
              <w:t>3</w:t>
            </w:r>
          </w:p>
        </w:tc>
      </w:tr>
      <w:tr w:rsidR="005C6A0B" w:rsidRPr="001B4C50" w14:paraId="5492F0E0" w14:textId="77777777" w:rsidTr="005C1A21">
        <w:tc>
          <w:tcPr>
            <w:tcW w:w="1134" w:type="pct"/>
          </w:tcPr>
          <w:p w14:paraId="469E69EA" w14:textId="28343108" w:rsidR="0023291F" w:rsidRDefault="0023291F" w:rsidP="00533411">
            <w:pPr>
              <w:tabs>
                <w:tab w:val="left" w:pos="1379"/>
                <w:tab w:val="left" w:pos="1380"/>
              </w:tabs>
              <w:spacing w:before="73"/>
              <w:rPr>
                <w:bCs/>
              </w:rPr>
            </w:pPr>
            <w:r>
              <w:rPr>
                <w:bCs/>
              </w:rPr>
              <w:t>Baseline beds</w:t>
            </w:r>
          </w:p>
        </w:tc>
        <w:tc>
          <w:tcPr>
            <w:tcW w:w="3866" w:type="pct"/>
          </w:tcPr>
          <w:p w14:paraId="46520B93" w14:textId="5AEBD0D0" w:rsidR="0023291F" w:rsidRDefault="0023291F" w:rsidP="00533411">
            <w:pPr>
              <w:tabs>
                <w:tab w:val="left" w:pos="1379"/>
                <w:tab w:val="left" w:pos="1380"/>
              </w:tabs>
              <w:spacing w:before="73"/>
              <w:rPr>
                <w:bCs/>
              </w:rPr>
            </w:pPr>
            <w:r>
              <w:rPr>
                <w:bCs/>
              </w:rPr>
              <w:t>The total number of adult critical care beds usually commissioned</w:t>
            </w:r>
          </w:p>
        </w:tc>
      </w:tr>
      <w:tr w:rsidR="00C45A4E" w:rsidRPr="001B4C50" w14:paraId="21394736" w14:textId="77777777" w:rsidTr="005C1A21">
        <w:tc>
          <w:tcPr>
            <w:tcW w:w="1134" w:type="pct"/>
          </w:tcPr>
          <w:p w14:paraId="4A832C8B" w14:textId="77777777" w:rsidR="00C45A4E" w:rsidRPr="003806E3" w:rsidRDefault="00C45A4E" w:rsidP="00656888">
            <w:pPr>
              <w:tabs>
                <w:tab w:val="left" w:pos="1379"/>
                <w:tab w:val="left" w:pos="1380"/>
              </w:tabs>
              <w:spacing w:before="73"/>
              <w:rPr>
                <w:bCs/>
              </w:rPr>
            </w:pPr>
            <w:r>
              <w:rPr>
                <w:bCs/>
              </w:rPr>
              <w:t>Capacity</w:t>
            </w:r>
          </w:p>
        </w:tc>
        <w:tc>
          <w:tcPr>
            <w:tcW w:w="3866" w:type="pct"/>
          </w:tcPr>
          <w:p w14:paraId="2550A0E5" w14:textId="77777777" w:rsidR="00C45A4E" w:rsidRDefault="00C45A4E" w:rsidP="00656888">
            <w:pPr>
              <w:tabs>
                <w:tab w:val="left" w:pos="1379"/>
                <w:tab w:val="left" w:pos="1380"/>
              </w:tabs>
              <w:spacing w:before="73"/>
              <w:rPr>
                <w:bCs/>
              </w:rPr>
            </w:pPr>
            <w:r>
              <w:rPr>
                <w:bCs/>
              </w:rPr>
              <w:t>The total number of staffed beds which could accept a patient requiring critical care</w:t>
            </w:r>
          </w:p>
        </w:tc>
      </w:tr>
      <w:tr w:rsidR="00C45A4E" w:rsidRPr="001B4C50" w14:paraId="5DA7ECC4" w14:textId="77777777" w:rsidTr="005C1A21">
        <w:tc>
          <w:tcPr>
            <w:tcW w:w="1134" w:type="pct"/>
          </w:tcPr>
          <w:p w14:paraId="4D679426" w14:textId="77777777" w:rsidR="00C45A4E" w:rsidRDefault="00C45A4E" w:rsidP="00656888">
            <w:pPr>
              <w:tabs>
                <w:tab w:val="left" w:pos="1379"/>
                <w:tab w:val="left" w:pos="1380"/>
              </w:tabs>
              <w:spacing w:before="73"/>
              <w:rPr>
                <w:bCs/>
              </w:rPr>
            </w:pPr>
            <w:r>
              <w:rPr>
                <w:bCs/>
              </w:rPr>
              <w:t>Capacity transfer</w:t>
            </w:r>
          </w:p>
        </w:tc>
        <w:tc>
          <w:tcPr>
            <w:tcW w:w="3866" w:type="pct"/>
          </w:tcPr>
          <w:p w14:paraId="19AB59FD" w14:textId="77777777" w:rsidR="00C45A4E" w:rsidRDefault="00C45A4E" w:rsidP="00656888">
            <w:pPr>
              <w:tabs>
                <w:tab w:val="left" w:pos="1379"/>
                <w:tab w:val="left" w:pos="1380"/>
              </w:tabs>
              <w:spacing w:before="73"/>
              <w:rPr>
                <w:bCs/>
              </w:rPr>
            </w:pPr>
            <w:r>
              <w:rPr>
                <w:bCs/>
              </w:rPr>
              <w:t xml:space="preserve">The transfer of a patient for non-clinical reasons to create capacity for other patients.  </w:t>
            </w:r>
          </w:p>
        </w:tc>
      </w:tr>
      <w:tr w:rsidR="005E0877" w:rsidRPr="001B4C50" w14:paraId="594CF04F" w14:textId="77777777" w:rsidTr="005C1A21">
        <w:tc>
          <w:tcPr>
            <w:tcW w:w="1134" w:type="pct"/>
          </w:tcPr>
          <w:p w14:paraId="1556DF22" w14:textId="77777777" w:rsidR="005E0877" w:rsidRDefault="005E0877" w:rsidP="00656888">
            <w:pPr>
              <w:tabs>
                <w:tab w:val="left" w:pos="1379"/>
                <w:tab w:val="left" w:pos="1380"/>
              </w:tabs>
              <w:spacing w:before="73"/>
              <w:rPr>
                <w:bCs/>
              </w:rPr>
            </w:pPr>
            <w:proofErr w:type="spellStart"/>
            <w:r>
              <w:rPr>
                <w:bCs/>
              </w:rPr>
              <w:t>Casemix</w:t>
            </w:r>
            <w:proofErr w:type="spellEnd"/>
          </w:p>
        </w:tc>
        <w:tc>
          <w:tcPr>
            <w:tcW w:w="3866" w:type="pct"/>
          </w:tcPr>
          <w:p w14:paraId="40BACCBB" w14:textId="77777777" w:rsidR="005E0877" w:rsidRDefault="005E0877" w:rsidP="00656888">
            <w:pPr>
              <w:tabs>
                <w:tab w:val="left" w:pos="1379"/>
                <w:tab w:val="left" w:pos="1380"/>
              </w:tabs>
              <w:spacing w:before="73"/>
              <w:rPr>
                <w:bCs/>
              </w:rPr>
            </w:pPr>
            <w:r>
              <w:rPr>
                <w:bCs/>
              </w:rPr>
              <w:t>The clinical profile of patients within a service</w:t>
            </w:r>
          </w:p>
        </w:tc>
      </w:tr>
      <w:tr w:rsidR="00C45A4E" w:rsidRPr="001B4C50" w14:paraId="6B6ED32A" w14:textId="77777777" w:rsidTr="005C1A21">
        <w:tc>
          <w:tcPr>
            <w:tcW w:w="1134" w:type="pct"/>
          </w:tcPr>
          <w:p w14:paraId="142C74AD" w14:textId="77777777" w:rsidR="00C45A4E" w:rsidRDefault="00C45A4E" w:rsidP="00656888">
            <w:pPr>
              <w:tabs>
                <w:tab w:val="left" w:pos="1379"/>
                <w:tab w:val="left" w:pos="1380"/>
              </w:tabs>
              <w:spacing w:before="73"/>
              <w:rPr>
                <w:bCs/>
              </w:rPr>
            </w:pPr>
            <w:r>
              <w:rPr>
                <w:bCs/>
              </w:rPr>
              <w:t>Clinical transfer</w:t>
            </w:r>
          </w:p>
        </w:tc>
        <w:tc>
          <w:tcPr>
            <w:tcW w:w="3866" w:type="pct"/>
          </w:tcPr>
          <w:p w14:paraId="0884D868" w14:textId="77777777" w:rsidR="00C45A4E" w:rsidRDefault="00C45A4E" w:rsidP="00656888">
            <w:pPr>
              <w:tabs>
                <w:tab w:val="left" w:pos="1379"/>
                <w:tab w:val="left" w:pos="1380"/>
              </w:tabs>
              <w:spacing w:before="73"/>
              <w:rPr>
                <w:bCs/>
              </w:rPr>
            </w:pPr>
            <w:r>
              <w:rPr>
                <w:bCs/>
              </w:rPr>
              <w:t>The transfer of a patient for clinical reasons</w:t>
            </w:r>
          </w:p>
        </w:tc>
      </w:tr>
      <w:tr w:rsidR="00C45A4E" w:rsidRPr="001B4C50" w14:paraId="6EEBCACE" w14:textId="77777777" w:rsidTr="005C1A21">
        <w:tc>
          <w:tcPr>
            <w:tcW w:w="1134" w:type="pct"/>
          </w:tcPr>
          <w:p w14:paraId="2076A5DB" w14:textId="414507E8" w:rsidR="00C45A4E" w:rsidRDefault="00C45A4E" w:rsidP="00656888">
            <w:pPr>
              <w:tabs>
                <w:tab w:val="left" w:pos="1379"/>
                <w:tab w:val="left" w:pos="1380"/>
              </w:tabs>
              <w:spacing w:before="73"/>
              <w:rPr>
                <w:bCs/>
              </w:rPr>
            </w:pPr>
            <w:r>
              <w:rPr>
                <w:bCs/>
              </w:rPr>
              <w:t>Critical Care Capacity Panel</w:t>
            </w:r>
          </w:p>
        </w:tc>
        <w:tc>
          <w:tcPr>
            <w:tcW w:w="3866" w:type="pct"/>
          </w:tcPr>
          <w:p w14:paraId="02C5877F" w14:textId="7F3A1DE5" w:rsidR="00C45A4E" w:rsidRDefault="00C45A4E" w:rsidP="00656888">
            <w:pPr>
              <w:tabs>
                <w:tab w:val="left" w:pos="1379"/>
                <w:tab w:val="left" w:pos="1380"/>
              </w:tabs>
              <w:spacing w:before="73"/>
              <w:rPr>
                <w:bCs/>
              </w:rPr>
            </w:pPr>
            <w:r>
              <w:rPr>
                <w:bCs/>
              </w:rPr>
              <w:t xml:space="preserve">National meeting to oversee management of critical care capacity across regions and cross regional mutual aid. Decision making informed by community infection rates, Adult Critical Care data, interdependent service demand and capacity and availability of resources including equipment </w:t>
            </w:r>
          </w:p>
        </w:tc>
      </w:tr>
      <w:tr w:rsidR="00B86E2E" w:rsidRPr="001B4C50" w14:paraId="4CFB7837" w14:textId="77777777" w:rsidTr="005C1A21">
        <w:tc>
          <w:tcPr>
            <w:tcW w:w="1134" w:type="pct"/>
          </w:tcPr>
          <w:p w14:paraId="66925958" w14:textId="60FCB1E6" w:rsidR="00B86E2E" w:rsidRDefault="00B86E2E" w:rsidP="00656888">
            <w:pPr>
              <w:tabs>
                <w:tab w:val="left" w:pos="1379"/>
                <w:tab w:val="left" w:pos="1380"/>
              </w:tabs>
              <w:spacing w:before="73"/>
              <w:rPr>
                <w:bCs/>
              </w:rPr>
            </w:pPr>
            <w:r>
              <w:rPr>
                <w:bCs/>
              </w:rPr>
              <w:t>Critical Care Cells</w:t>
            </w:r>
          </w:p>
        </w:tc>
        <w:tc>
          <w:tcPr>
            <w:tcW w:w="3866" w:type="pct"/>
          </w:tcPr>
          <w:p w14:paraId="177A6182" w14:textId="747E5FD3" w:rsidR="00B86E2E" w:rsidRDefault="003E478D" w:rsidP="00656888">
            <w:pPr>
              <w:tabs>
                <w:tab w:val="left" w:pos="1379"/>
                <w:tab w:val="left" w:pos="1380"/>
              </w:tabs>
              <w:spacing w:before="73"/>
              <w:rPr>
                <w:bCs/>
              </w:rPr>
            </w:pPr>
            <w:r>
              <w:rPr>
                <w:bCs/>
              </w:rPr>
              <w:t>Provide regional oversight of operational delivery and are the first escalation point within systems. Th</w:t>
            </w:r>
            <w:r w:rsidR="009F587F">
              <w:rPr>
                <w:bCs/>
              </w:rPr>
              <w:t>e membership includes ODNs, medical leads and commissioners. This group reports in to UEC and EPRR structures</w:t>
            </w:r>
          </w:p>
        </w:tc>
      </w:tr>
      <w:tr w:rsidR="005E0877" w:rsidRPr="001B4C50" w14:paraId="041B853F" w14:textId="77777777" w:rsidTr="005C1A21">
        <w:tc>
          <w:tcPr>
            <w:tcW w:w="1134" w:type="pct"/>
          </w:tcPr>
          <w:p w14:paraId="32463F95" w14:textId="77777777" w:rsidR="005E0877" w:rsidRDefault="005E0877" w:rsidP="00656888">
            <w:pPr>
              <w:tabs>
                <w:tab w:val="left" w:pos="1379"/>
                <w:tab w:val="left" w:pos="1380"/>
              </w:tabs>
              <w:spacing w:before="73"/>
              <w:rPr>
                <w:bCs/>
              </w:rPr>
            </w:pPr>
            <w:r>
              <w:rPr>
                <w:bCs/>
              </w:rPr>
              <w:t>Decompression</w:t>
            </w:r>
          </w:p>
        </w:tc>
        <w:tc>
          <w:tcPr>
            <w:tcW w:w="3866" w:type="pct"/>
          </w:tcPr>
          <w:p w14:paraId="4C020235" w14:textId="77777777" w:rsidR="005E0877" w:rsidRDefault="005E0877" w:rsidP="00656888">
            <w:pPr>
              <w:tabs>
                <w:tab w:val="left" w:pos="1379"/>
                <w:tab w:val="left" w:pos="1380"/>
              </w:tabs>
              <w:spacing w:before="73"/>
              <w:rPr>
                <w:bCs/>
              </w:rPr>
            </w:pPr>
            <w:r>
              <w:rPr>
                <w:bCs/>
              </w:rPr>
              <w:t>This includes a range of measures to reduce the pressure on capacity within a Critical Care unit or system.</w:t>
            </w:r>
          </w:p>
        </w:tc>
      </w:tr>
      <w:tr w:rsidR="00F4627E" w:rsidRPr="001B4C50" w14:paraId="5935250F" w14:textId="77777777" w:rsidTr="005C1A21">
        <w:tc>
          <w:tcPr>
            <w:tcW w:w="1134" w:type="pct"/>
          </w:tcPr>
          <w:p w14:paraId="31AA017B" w14:textId="6151E8E8" w:rsidR="00F4627E" w:rsidRDefault="00F4627E" w:rsidP="00F4627E">
            <w:pPr>
              <w:tabs>
                <w:tab w:val="left" w:pos="1379"/>
                <w:tab w:val="left" w:pos="1380"/>
              </w:tabs>
              <w:spacing w:before="73"/>
              <w:rPr>
                <w:bCs/>
              </w:rPr>
            </w:pPr>
            <w:r w:rsidRPr="00F4627E">
              <w:rPr>
                <w:bCs/>
              </w:rPr>
              <w:t>NHS Resilience</w:t>
            </w:r>
          </w:p>
        </w:tc>
        <w:tc>
          <w:tcPr>
            <w:tcW w:w="3866" w:type="pct"/>
          </w:tcPr>
          <w:p w14:paraId="62079D94" w14:textId="78829CDD" w:rsidR="00F4627E" w:rsidRDefault="00F4627E" w:rsidP="00F4627E">
            <w:pPr>
              <w:tabs>
                <w:tab w:val="left" w:pos="1379"/>
                <w:tab w:val="left" w:pos="1380"/>
              </w:tabs>
              <w:spacing w:before="73"/>
              <w:rPr>
                <w:bCs/>
              </w:rPr>
            </w:pPr>
            <w:r>
              <w:rPr>
                <w:bCs/>
              </w:rPr>
              <w:t xml:space="preserve">Emergency Preparedness Resilience and Response teams as set out in </w:t>
            </w:r>
            <w:hyperlink r:id="rId35" w:history="1">
              <w:r w:rsidRPr="00D4562C">
                <w:rPr>
                  <w:rStyle w:val="Hyperlink"/>
                  <w:bCs/>
                </w:rPr>
                <w:t>https://www.england.nhs.uk/ourwork/eprr/gf/</w:t>
              </w:r>
            </w:hyperlink>
          </w:p>
        </w:tc>
      </w:tr>
      <w:tr w:rsidR="00F4627E" w:rsidRPr="001B4C50" w14:paraId="14F6A3EC" w14:textId="77777777" w:rsidTr="005C1A21">
        <w:tc>
          <w:tcPr>
            <w:tcW w:w="1134" w:type="pct"/>
          </w:tcPr>
          <w:p w14:paraId="7D311EA8" w14:textId="77777777" w:rsidR="00F4627E" w:rsidRPr="003806E3" w:rsidRDefault="00F4627E" w:rsidP="00F4627E">
            <w:pPr>
              <w:tabs>
                <w:tab w:val="left" w:pos="1379"/>
                <w:tab w:val="left" w:pos="1380"/>
              </w:tabs>
              <w:spacing w:before="73"/>
              <w:rPr>
                <w:bCs/>
              </w:rPr>
            </w:pPr>
            <w:r>
              <w:rPr>
                <w:bCs/>
              </w:rPr>
              <w:t>Local escalation plans</w:t>
            </w:r>
          </w:p>
        </w:tc>
        <w:tc>
          <w:tcPr>
            <w:tcW w:w="3866" w:type="pct"/>
          </w:tcPr>
          <w:p w14:paraId="60721E06" w14:textId="77777777" w:rsidR="00F4627E" w:rsidRDefault="00F4627E" w:rsidP="00F4627E">
            <w:pPr>
              <w:tabs>
                <w:tab w:val="left" w:pos="1379"/>
                <w:tab w:val="left" w:pos="1380"/>
              </w:tabs>
              <w:spacing w:before="73"/>
              <w:rPr>
                <w:bCs/>
              </w:rPr>
            </w:pPr>
            <w:r>
              <w:rPr>
                <w:bCs/>
              </w:rPr>
              <w:t xml:space="preserve">Plans that are agreed by leaders at a system or regional level </w:t>
            </w:r>
          </w:p>
        </w:tc>
      </w:tr>
      <w:tr w:rsidR="00F4627E" w:rsidRPr="001B4C50" w14:paraId="3E5E1703" w14:textId="77777777" w:rsidTr="005C1A21">
        <w:tc>
          <w:tcPr>
            <w:tcW w:w="1134" w:type="pct"/>
          </w:tcPr>
          <w:p w14:paraId="65214A8F" w14:textId="77777777" w:rsidR="00F4627E" w:rsidRDefault="00F4627E" w:rsidP="00F4627E">
            <w:pPr>
              <w:tabs>
                <w:tab w:val="left" w:pos="1379"/>
                <w:tab w:val="left" w:pos="1380"/>
              </w:tabs>
              <w:spacing w:before="73"/>
              <w:rPr>
                <w:bCs/>
              </w:rPr>
            </w:pPr>
            <w:r>
              <w:rPr>
                <w:bCs/>
              </w:rPr>
              <w:t>Mutual aid</w:t>
            </w:r>
          </w:p>
        </w:tc>
        <w:tc>
          <w:tcPr>
            <w:tcW w:w="3866" w:type="pct"/>
          </w:tcPr>
          <w:p w14:paraId="49362CB6" w14:textId="3A393A10" w:rsidR="00F4627E" w:rsidRDefault="00F4627E" w:rsidP="00F4627E">
            <w:pPr>
              <w:tabs>
                <w:tab w:val="left" w:pos="1379"/>
                <w:tab w:val="left" w:pos="1380"/>
              </w:tabs>
              <w:spacing w:before="73"/>
              <w:rPr>
                <w:bCs/>
              </w:rPr>
            </w:pPr>
            <w:r>
              <w:t xml:space="preserve">Sharing of resources between units, hospitals, trusts, systems, or regions. </w:t>
            </w:r>
            <w:r>
              <w:rPr>
                <w:bCs/>
              </w:rPr>
              <w:t xml:space="preserve">This may include staff redeployment, sharing of medicines or equipment. It may also include the transfer of patients from one unit to another to better balance service pressures </w:t>
            </w:r>
          </w:p>
        </w:tc>
      </w:tr>
      <w:tr w:rsidR="00F4627E" w:rsidRPr="001B4C50" w14:paraId="66571EFB" w14:textId="77777777" w:rsidTr="005C1A21">
        <w:tc>
          <w:tcPr>
            <w:tcW w:w="1134" w:type="pct"/>
          </w:tcPr>
          <w:p w14:paraId="423242BD" w14:textId="77777777" w:rsidR="00F4627E" w:rsidRPr="003806E3" w:rsidRDefault="00F4627E" w:rsidP="00F4627E">
            <w:pPr>
              <w:tabs>
                <w:tab w:val="left" w:pos="1379"/>
                <w:tab w:val="left" w:pos="1380"/>
              </w:tabs>
              <w:spacing w:before="73"/>
              <w:rPr>
                <w:bCs/>
              </w:rPr>
            </w:pPr>
            <w:r>
              <w:rPr>
                <w:bCs/>
              </w:rPr>
              <w:t>Normal clinical pathways</w:t>
            </w:r>
          </w:p>
        </w:tc>
        <w:tc>
          <w:tcPr>
            <w:tcW w:w="3866" w:type="pct"/>
          </w:tcPr>
          <w:p w14:paraId="1D371CC3" w14:textId="77777777" w:rsidR="00F4627E" w:rsidRDefault="00F4627E" w:rsidP="00F4627E">
            <w:pPr>
              <w:tabs>
                <w:tab w:val="left" w:pos="1379"/>
                <w:tab w:val="left" w:pos="1380"/>
              </w:tabs>
              <w:spacing w:before="73"/>
              <w:rPr>
                <w:bCs/>
              </w:rPr>
            </w:pPr>
            <w:r>
              <w:rPr>
                <w:bCs/>
              </w:rPr>
              <w:t>Existing treatment and care process for patients that have not been implemented solely as a response to the pandemic</w:t>
            </w:r>
          </w:p>
        </w:tc>
      </w:tr>
      <w:tr w:rsidR="00F4627E" w:rsidRPr="001B4C50" w14:paraId="256B2E1D" w14:textId="77777777" w:rsidTr="005C1A21">
        <w:tc>
          <w:tcPr>
            <w:tcW w:w="1134" w:type="pct"/>
          </w:tcPr>
          <w:p w14:paraId="5D1729B3" w14:textId="00DD4A7A" w:rsidR="00F4627E" w:rsidRDefault="00F4627E" w:rsidP="00F4627E">
            <w:pPr>
              <w:tabs>
                <w:tab w:val="left" w:pos="1379"/>
                <w:tab w:val="left" w:pos="1380"/>
              </w:tabs>
              <w:spacing w:before="73"/>
              <w:rPr>
                <w:bCs/>
              </w:rPr>
            </w:pPr>
            <w:r>
              <w:rPr>
                <w:bCs/>
              </w:rPr>
              <w:t>Operational Delivery Networks (ODNs)</w:t>
            </w:r>
          </w:p>
        </w:tc>
        <w:tc>
          <w:tcPr>
            <w:tcW w:w="3866" w:type="pct"/>
          </w:tcPr>
          <w:p w14:paraId="5CA79E27" w14:textId="6E0139E6" w:rsidR="00F4627E" w:rsidRDefault="00F4627E" w:rsidP="00F4627E">
            <w:pPr>
              <w:tabs>
                <w:tab w:val="left" w:pos="1379"/>
                <w:tab w:val="left" w:pos="1380"/>
              </w:tabs>
              <w:spacing w:before="73"/>
              <w:rPr>
                <w:bCs/>
              </w:rPr>
            </w:pPr>
            <w:r>
              <w:rPr>
                <w:bCs/>
              </w:rPr>
              <w:t>Commissioned to provide coordination and oversight of Adult Critical Care within systems (or specified regional areas). Reporting into Critical Care Cells and regional EPRR structures</w:t>
            </w:r>
          </w:p>
        </w:tc>
      </w:tr>
      <w:tr w:rsidR="00F4627E" w:rsidRPr="001B4C50" w14:paraId="1930DAAD" w14:textId="77777777" w:rsidTr="005C1A21">
        <w:tc>
          <w:tcPr>
            <w:tcW w:w="1134" w:type="pct"/>
          </w:tcPr>
          <w:p w14:paraId="33905366" w14:textId="1D1057AA" w:rsidR="00F4627E" w:rsidRDefault="00F4627E" w:rsidP="00F4627E">
            <w:pPr>
              <w:tabs>
                <w:tab w:val="left" w:pos="1379"/>
                <w:tab w:val="left" w:pos="1380"/>
              </w:tabs>
              <w:spacing w:before="73"/>
              <w:rPr>
                <w:bCs/>
              </w:rPr>
            </w:pPr>
            <w:r>
              <w:rPr>
                <w:bCs/>
              </w:rPr>
              <w:t>Surge</w:t>
            </w:r>
          </w:p>
        </w:tc>
        <w:tc>
          <w:tcPr>
            <w:tcW w:w="3866" w:type="pct"/>
          </w:tcPr>
          <w:p w14:paraId="42DC5189" w14:textId="2DA3CA29" w:rsidR="00F4627E" w:rsidRPr="00637EC7" w:rsidRDefault="00F4627E" w:rsidP="00F4627E">
            <w:pPr>
              <w:tabs>
                <w:tab w:val="left" w:pos="1379"/>
                <w:tab w:val="left" w:pos="1380"/>
              </w:tabs>
              <w:spacing w:before="73"/>
              <w:rPr>
                <w:bCs/>
              </w:rPr>
            </w:pPr>
            <w:r>
              <w:rPr>
                <w:bCs/>
              </w:rPr>
              <w:t>Increasing capacity beyond usual footprint to meet increasing demand</w:t>
            </w:r>
          </w:p>
        </w:tc>
      </w:tr>
      <w:tr w:rsidR="00F4627E" w:rsidRPr="001B4C50" w14:paraId="39A47D19" w14:textId="1A696D16" w:rsidTr="005C1A21">
        <w:tc>
          <w:tcPr>
            <w:tcW w:w="1134" w:type="pct"/>
          </w:tcPr>
          <w:p w14:paraId="6AA7924D" w14:textId="5E2B1975" w:rsidR="00F4627E" w:rsidRPr="003806E3" w:rsidRDefault="00F4627E" w:rsidP="00F4627E">
            <w:pPr>
              <w:tabs>
                <w:tab w:val="left" w:pos="1379"/>
                <w:tab w:val="left" w:pos="1380"/>
              </w:tabs>
              <w:spacing w:before="73"/>
              <w:rPr>
                <w:bCs/>
              </w:rPr>
            </w:pPr>
            <w:r>
              <w:rPr>
                <w:bCs/>
              </w:rPr>
              <w:t>Staffing ratios</w:t>
            </w:r>
          </w:p>
        </w:tc>
        <w:tc>
          <w:tcPr>
            <w:tcW w:w="3866" w:type="pct"/>
          </w:tcPr>
          <w:p w14:paraId="598AB564" w14:textId="59B9F728" w:rsidR="00F4627E" w:rsidRDefault="00F4627E" w:rsidP="00F4627E">
            <w:pPr>
              <w:tabs>
                <w:tab w:val="left" w:pos="1379"/>
                <w:tab w:val="left" w:pos="1380"/>
              </w:tabs>
              <w:spacing w:before="73"/>
              <w:rPr>
                <w:bCs/>
              </w:rPr>
            </w:pPr>
            <w:r>
              <w:rPr>
                <w:bCs/>
              </w:rPr>
              <w:t>As set out in GPICS published guidance</w:t>
            </w:r>
          </w:p>
        </w:tc>
      </w:tr>
      <w:tr w:rsidR="00F4627E" w:rsidRPr="001B4C50" w14:paraId="41EF24A8" w14:textId="18FE7392" w:rsidTr="005C1A21">
        <w:tc>
          <w:tcPr>
            <w:tcW w:w="1134" w:type="pct"/>
          </w:tcPr>
          <w:p w14:paraId="4F6DCA1A" w14:textId="783581E1" w:rsidR="00F4627E" w:rsidRDefault="00F4627E" w:rsidP="00F4627E">
            <w:pPr>
              <w:tabs>
                <w:tab w:val="left" w:pos="1379"/>
                <w:tab w:val="left" w:pos="1380"/>
              </w:tabs>
              <w:spacing w:before="73"/>
              <w:rPr>
                <w:bCs/>
              </w:rPr>
            </w:pPr>
            <w:r>
              <w:rPr>
                <w:bCs/>
              </w:rPr>
              <w:t>Secondary care</w:t>
            </w:r>
          </w:p>
        </w:tc>
        <w:tc>
          <w:tcPr>
            <w:tcW w:w="3866" w:type="pct"/>
          </w:tcPr>
          <w:p w14:paraId="74A46600" w14:textId="2FDAEA5F" w:rsidR="00F4627E" w:rsidRDefault="00F4627E" w:rsidP="00F4627E">
            <w:pPr>
              <w:tabs>
                <w:tab w:val="left" w:pos="1379"/>
                <w:tab w:val="left" w:pos="1380"/>
              </w:tabs>
              <w:spacing w:before="73"/>
              <w:rPr>
                <w:bCs/>
              </w:rPr>
            </w:pPr>
            <w:r w:rsidRPr="00B61889">
              <w:rPr>
                <w:bCs/>
              </w:rPr>
              <w:t>Secondary care, which is sometimes referred to as 'hospital</w:t>
            </w:r>
            <w:r>
              <w:rPr>
                <w:bCs/>
              </w:rPr>
              <w:t xml:space="preserve"> or acute care</w:t>
            </w:r>
            <w:r w:rsidRPr="00B61889">
              <w:rPr>
                <w:bCs/>
              </w:rPr>
              <w:t>', can either be planned (elective) care, or urgent and emergency care</w:t>
            </w:r>
            <w:r>
              <w:rPr>
                <w:bCs/>
              </w:rPr>
              <w:t xml:space="preserve"> (non-elective)</w:t>
            </w:r>
          </w:p>
        </w:tc>
      </w:tr>
      <w:tr w:rsidR="00F4627E" w:rsidRPr="001B4C50" w14:paraId="5F49F773" w14:textId="77777777" w:rsidTr="005C1A21">
        <w:tc>
          <w:tcPr>
            <w:tcW w:w="1134" w:type="pct"/>
          </w:tcPr>
          <w:p w14:paraId="38C86681" w14:textId="77777777" w:rsidR="00F4627E" w:rsidRDefault="00F4627E" w:rsidP="00F4627E">
            <w:pPr>
              <w:tabs>
                <w:tab w:val="left" w:pos="1379"/>
                <w:tab w:val="left" w:pos="1380"/>
              </w:tabs>
              <w:spacing w:before="73"/>
              <w:rPr>
                <w:bCs/>
              </w:rPr>
            </w:pPr>
            <w:r>
              <w:rPr>
                <w:bCs/>
              </w:rPr>
              <w:t>System first</w:t>
            </w:r>
          </w:p>
        </w:tc>
        <w:tc>
          <w:tcPr>
            <w:tcW w:w="3866" w:type="pct"/>
          </w:tcPr>
          <w:p w14:paraId="7B113C79" w14:textId="77777777" w:rsidR="00F4627E" w:rsidRPr="00637EC7" w:rsidRDefault="00F4627E" w:rsidP="00F4627E">
            <w:pPr>
              <w:tabs>
                <w:tab w:val="left" w:pos="1379"/>
                <w:tab w:val="left" w:pos="1380"/>
              </w:tabs>
              <w:spacing w:before="73"/>
              <w:rPr>
                <w:bCs/>
              </w:rPr>
            </w:pPr>
            <w:r>
              <w:rPr>
                <w:bCs/>
              </w:rPr>
              <w:t>Decisions made at a local level within an Integrated Care System as the first level response</w:t>
            </w:r>
          </w:p>
        </w:tc>
      </w:tr>
      <w:tr w:rsidR="00F4627E" w:rsidRPr="001B4C50" w14:paraId="7AD8B5E6" w14:textId="1BE78C94" w:rsidTr="005C1A21">
        <w:tc>
          <w:tcPr>
            <w:tcW w:w="1134" w:type="pct"/>
          </w:tcPr>
          <w:p w14:paraId="616F0326" w14:textId="13408FAC" w:rsidR="00F4627E" w:rsidRDefault="00F4627E" w:rsidP="00F4627E">
            <w:pPr>
              <w:tabs>
                <w:tab w:val="left" w:pos="1379"/>
                <w:tab w:val="left" w:pos="1380"/>
              </w:tabs>
              <w:spacing w:before="73"/>
              <w:rPr>
                <w:bCs/>
              </w:rPr>
            </w:pPr>
            <w:r>
              <w:rPr>
                <w:bCs/>
              </w:rPr>
              <w:t>Tertiary services</w:t>
            </w:r>
          </w:p>
        </w:tc>
        <w:tc>
          <w:tcPr>
            <w:tcW w:w="3866" w:type="pct"/>
          </w:tcPr>
          <w:p w14:paraId="1D08DD63" w14:textId="5106B948" w:rsidR="00F4627E" w:rsidRDefault="00F4627E" w:rsidP="00F4627E">
            <w:pPr>
              <w:tabs>
                <w:tab w:val="left" w:pos="1379"/>
                <w:tab w:val="left" w:pos="1380"/>
              </w:tabs>
              <w:spacing w:before="73"/>
              <w:rPr>
                <w:bCs/>
              </w:rPr>
            </w:pPr>
            <w:r w:rsidRPr="00A278E7">
              <w:rPr>
                <w:bCs/>
              </w:rPr>
              <w:t xml:space="preserve">Tertiary care refers to highly specialised treatment </w:t>
            </w:r>
          </w:p>
        </w:tc>
      </w:tr>
      <w:tr w:rsidR="00F4627E" w:rsidRPr="001B4C50" w14:paraId="46B3E64C" w14:textId="77777777" w:rsidTr="005C1A21">
        <w:tc>
          <w:tcPr>
            <w:tcW w:w="1134" w:type="pct"/>
          </w:tcPr>
          <w:p w14:paraId="25BA628A" w14:textId="77777777" w:rsidR="00F4627E" w:rsidRPr="003806E3" w:rsidRDefault="00F4627E" w:rsidP="00F4627E">
            <w:pPr>
              <w:tabs>
                <w:tab w:val="left" w:pos="1379"/>
                <w:tab w:val="left" w:pos="1380"/>
              </w:tabs>
              <w:spacing w:before="73"/>
              <w:rPr>
                <w:bCs/>
              </w:rPr>
            </w:pPr>
            <w:r>
              <w:rPr>
                <w:bCs/>
              </w:rPr>
              <w:t>Very high local surge</w:t>
            </w:r>
          </w:p>
        </w:tc>
        <w:tc>
          <w:tcPr>
            <w:tcW w:w="3866" w:type="pct"/>
          </w:tcPr>
          <w:p w14:paraId="7A63189B" w14:textId="77777777" w:rsidR="00F4627E" w:rsidRDefault="00F4627E" w:rsidP="00F4627E">
            <w:pPr>
              <w:tabs>
                <w:tab w:val="left" w:pos="1379"/>
                <w:tab w:val="left" w:pos="1380"/>
              </w:tabs>
              <w:spacing w:before="73"/>
              <w:rPr>
                <w:bCs/>
              </w:rPr>
            </w:pPr>
            <w:r w:rsidRPr="00637EC7">
              <w:rPr>
                <w:bCs/>
              </w:rPr>
              <w:t>100% baseline capacity occupied with no discharges in the previous 24 hours</w:t>
            </w:r>
          </w:p>
        </w:tc>
      </w:tr>
    </w:tbl>
    <w:p w14:paraId="5751E10F" w14:textId="6F606241" w:rsidR="009739E3" w:rsidRDefault="009739E3" w:rsidP="00D06668">
      <w:pPr>
        <w:tabs>
          <w:tab w:val="center" w:pos="5073"/>
        </w:tabs>
        <w:rPr>
          <w:sz w:val="28"/>
          <w:szCs w:val="28"/>
        </w:rPr>
      </w:pPr>
    </w:p>
    <w:bookmarkEnd w:id="5"/>
    <w:p w14:paraId="0AEB51AF" w14:textId="77777777" w:rsidR="0003195E" w:rsidRDefault="0003195E" w:rsidP="0003195E">
      <w:pPr>
        <w:pStyle w:val="BodyText"/>
        <w:ind w:left="426"/>
        <w:rPr>
          <w:b/>
          <w:color w:val="006FC0"/>
          <w:sz w:val="29"/>
        </w:rPr>
      </w:pPr>
    </w:p>
    <w:p w14:paraId="7BC83834" w14:textId="77777777" w:rsidR="0003195E" w:rsidRDefault="0003195E" w:rsidP="0003195E">
      <w:pPr>
        <w:pStyle w:val="BodyText"/>
        <w:ind w:left="426"/>
        <w:rPr>
          <w:b/>
          <w:color w:val="006FC0"/>
          <w:sz w:val="29"/>
        </w:rPr>
      </w:pPr>
    </w:p>
    <w:p w14:paraId="6E6D7E82" w14:textId="77777777" w:rsidR="0003195E" w:rsidRDefault="0003195E">
      <w:pPr>
        <w:rPr>
          <w:b/>
          <w:color w:val="006FC0"/>
          <w:sz w:val="29"/>
          <w:szCs w:val="24"/>
        </w:rPr>
      </w:pPr>
      <w:r>
        <w:rPr>
          <w:b/>
          <w:color w:val="006FC0"/>
          <w:sz w:val="29"/>
        </w:rPr>
        <w:br w:type="page"/>
      </w:r>
    </w:p>
    <w:p w14:paraId="22F1D77E" w14:textId="0D28B9D3" w:rsidR="0003195E" w:rsidRDefault="0003195E" w:rsidP="0003195E">
      <w:pPr>
        <w:pStyle w:val="BodyText"/>
        <w:numPr>
          <w:ilvl w:val="0"/>
          <w:numId w:val="20"/>
        </w:numPr>
        <w:ind w:left="426" w:hanging="426"/>
        <w:rPr>
          <w:b/>
          <w:color w:val="006FC0"/>
          <w:sz w:val="29"/>
        </w:rPr>
      </w:pPr>
      <w:r>
        <w:rPr>
          <w:b/>
          <w:color w:val="006FC0"/>
          <w:sz w:val="29"/>
        </w:rPr>
        <w:lastRenderedPageBreak/>
        <w:t>Commissioned Capacity</w:t>
      </w:r>
    </w:p>
    <w:p w14:paraId="06F33229" w14:textId="2E045AEB" w:rsidR="00295AE4" w:rsidRDefault="00295AE4" w:rsidP="009739E3">
      <w:pPr>
        <w:rPr>
          <w:sz w:val="28"/>
          <w:szCs w:val="28"/>
        </w:rPr>
      </w:pPr>
    </w:p>
    <w:p w14:paraId="5394716F" w14:textId="77777777" w:rsidR="0003195E" w:rsidRDefault="0003195E" w:rsidP="009739E3">
      <w:pPr>
        <w:rPr>
          <w:sz w:val="28"/>
          <w:szCs w:val="28"/>
        </w:rPr>
      </w:pPr>
    </w:p>
    <w:tbl>
      <w:tblPr>
        <w:tblW w:w="9016" w:type="dxa"/>
        <w:tblLook w:val="04A0" w:firstRow="1" w:lastRow="0" w:firstColumn="1" w:lastColumn="0" w:noHBand="0" w:noVBand="1"/>
      </w:tblPr>
      <w:tblGrid>
        <w:gridCol w:w="3915"/>
        <w:gridCol w:w="1766"/>
        <w:gridCol w:w="1000"/>
        <w:gridCol w:w="884"/>
        <w:gridCol w:w="1451"/>
      </w:tblGrid>
      <w:tr w:rsidR="0003195E" w14:paraId="33150555" w14:textId="77777777" w:rsidTr="0003195E">
        <w:tc>
          <w:tcPr>
            <w:tcW w:w="9016" w:type="dxa"/>
            <w:gridSpan w:val="5"/>
            <w:tcBorders>
              <w:top w:val="single" w:sz="8" w:space="0" w:color="auto"/>
              <w:left w:val="single" w:sz="8" w:space="0" w:color="auto"/>
              <w:bottom w:val="single" w:sz="8" w:space="0" w:color="auto"/>
              <w:right w:val="single" w:sz="8" w:space="0" w:color="auto"/>
            </w:tcBorders>
            <w:shd w:val="clear" w:color="auto" w:fill="0D0D0D"/>
            <w:hideMark/>
          </w:tcPr>
          <w:p w14:paraId="489C6680" w14:textId="22AF8469" w:rsidR="0003195E" w:rsidRPr="0003195E" w:rsidRDefault="0003195E" w:rsidP="00642CA0">
            <w:pPr>
              <w:pStyle w:val="NormalWeb"/>
              <w:rPr>
                <w:b/>
                <w:bCs/>
              </w:rPr>
            </w:pPr>
            <w:r w:rsidRPr="0003195E">
              <w:rPr>
                <w:rFonts w:ascii="Aptos" w:hAnsi="Aptos"/>
                <w:b/>
                <w:bCs/>
                <w:color w:val="FFFFFF"/>
              </w:rPr>
              <w:t xml:space="preserve">North of England </w:t>
            </w:r>
          </w:p>
        </w:tc>
      </w:tr>
      <w:tr w:rsidR="0003195E" w14:paraId="37BE33C9" w14:textId="77777777" w:rsidTr="006A11A8">
        <w:tc>
          <w:tcPr>
            <w:tcW w:w="3915" w:type="dxa"/>
            <w:vMerge w:val="restart"/>
            <w:tcBorders>
              <w:top w:val="nil"/>
              <w:left w:val="single" w:sz="8" w:space="0" w:color="auto"/>
              <w:bottom w:val="single" w:sz="8" w:space="0" w:color="auto"/>
              <w:right w:val="single" w:sz="8" w:space="0" w:color="auto"/>
            </w:tcBorders>
            <w:hideMark/>
          </w:tcPr>
          <w:p w14:paraId="487A56A2" w14:textId="77777777" w:rsidR="0003195E" w:rsidRDefault="0003195E" w:rsidP="00642CA0">
            <w:pPr>
              <w:pStyle w:val="NormalWeb"/>
              <w:jc w:val="center"/>
            </w:pPr>
            <w:r>
              <w:rPr>
                <w:rFonts w:ascii="Aptos" w:hAnsi="Aptos"/>
                <w:color w:val="000000"/>
              </w:rPr>
              <w:t>Trust</w:t>
            </w:r>
          </w:p>
        </w:tc>
        <w:tc>
          <w:tcPr>
            <w:tcW w:w="1766" w:type="dxa"/>
            <w:vMerge w:val="restart"/>
            <w:tcBorders>
              <w:top w:val="nil"/>
              <w:left w:val="nil"/>
              <w:bottom w:val="single" w:sz="8" w:space="0" w:color="auto"/>
              <w:right w:val="single" w:sz="8" w:space="0" w:color="auto"/>
            </w:tcBorders>
            <w:shd w:val="clear" w:color="auto" w:fill="E5DFEC"/>
            <w:hideMark/>
          </w:tcPr>
          <w:p w14:paraId="185A6D01" w14:textId="77777777" w:rsidR="0003195E" w:rsidRDefault="0003195E" w:rsidP="00642CA0">
            <w:pPr>
              <w:pStyle w:val="NormalWeb"/>
              <w:jc w:val="center"/>
            </w:pPr>
            <w:r>
              <w:rPr>
                <w:rFonts w:ascii="Aptos" w:hAnsi="Aptos"/>
                <w:color w:val="000000"/>
              </w:rPr>
              <w:t>Commissioned Beds</w:t>
            </w:r>
          </w:p>
        </w:tc>
        <w:tc>
          <w:tcPr>
            <w:tcW w:w="1884" w:type="dxa"/>
            <w:gridSpan w:val="2"/>
            <w:tcBorders>
              <w:top w:val="nil"/>
              <w:left w:val="nil"/>
              <w:bottom w:val="single" w:sz="8" w:space="0" w:color="auto"/>
              <w:right w:val="single" w:sz="8" w:space="0" w:color="auto"/>
            </w:tcBorders>
            <w:shd w:val="clear" w:color="auto" w:fill="DBE5F1"/>
            <w:hideMark/>
          </w:tcPr>
          <w:p w14:paraId="60148545" w14:textId="77777777" w:rsidR="0003195E" w:rsidRDefault="0003195E" w:rsidP="00642CA0">
            <w:pPr>
              <w:pStyle w:val="NormalWeb"/>
              <w:jc w:val="center"/>
            </w:pPr>
            <w:r>
              <w:rPr>
                <w:rFonts w:ascii="Aptos" w:hAnsi="Aptos"/>
                <w:color w:val="000000"/>
              </w:rPr>
              <w:t>Level</w:t>
            </w:r>
          </w:p>
        </w:tc>
        <w:tc>
          <w:tcPr>
            <w:tcW w:w="1451" w:type="dxa"/>
            <w:vMerge w:val="restart"/>
            <w:tcBorders>
              <w:top w:val="nil"/>
              <w:left w:val="nil"/>
              <w:bottom w:val="single" w:sz="8" w:space="0" w:color="auto"/>
              <w:right w:val="single" w:sz="8" w:space="0" w:color="auto"/>
            </w:tcBorders>
            <w:shd w:val="clear" w:color="auto" w:fill="EAF1DD"/>
            <w:hideMark/>
          </w:tcPr>
          <w:p w14:paraId="0E4993F7" w14:textId="77777777" w:rsidR="0003195E" w:rsidRDefault="0003195E" w:rsidP="00642CA0">
            <w:pPr>
              <w:pStyle w:val="NormalWeb"/>
              <w:jc w:val="center"/>
            </w:pPr>
            <w:r>
              <w:rPr>
                <w:rFonts w:ascii="Aptos" w:hAnsi="Aptos"/>
                <w:color w:val="000000"/>
              </w:rPr>
              <w:t>Total Level 3 equivalent</w:t>
            </w:r>
          </w:p>
        </w:tc>
      </w:tr>
      <w:tr w:rsidR="0003195E" w14:paraId="7AD0380D" w14:textId="77777777" w:rsidTr="0003195E">
        <w:tc>
          <w:tcPr>
            <w:tcW w:w="0" w:type="auto"/>
            <w:vMerge/>
            <w:tcBorders>
              <w:top w:val="nil"/>
              <w:left w:val="single" w:sz="8" w:space="0" w:color="auto"/>
              <w:bottom w:val="single" w:sz="8" w:space="0" w:color="auto"/>
              <w:right w:val="single" w:sz="8" w:space="0" w:color="auto"/>
            </w:tcBorders>
            <w:vAlign w:val="center"/>
            <w:hideMark/>
          </w:tcPr>
          <w:p w14:paraId="16D583AF" w14:textId="77777777" w:rsidR="0003195E" w:rsidRDefault="0003195E" w:rsidP="00642CA0">
            <w:pPr>
              <w:rPr>
                <w:rFonts w:ascii="Calibri" w:eastAsiaTheme="minorHAnsi" w:hAnsi="Calibri" w:cs="Calibri"/>
              </w:rPr>
            </w:pPr>
          </w:p>
        </w:tc>
        <w:tc>
          <w:tcPr>
            <w:tcW w:w="0" w:type="auto"/>
            <w:vMerge/>
            <w:tcBorders>
              <w:top w:val="nil"/>
              <w:left w:val="nil"/>
              <w:bottom w:val="single" w:sz="8" w:space="0" w:color="auto"/>
              <w:right w:val="single" w:sz="8" w:space="0" w:color="auto"/>
            </w:tcBorders>
            <w:vAlign w:val="center"/>
            <w:hideMark/>
          </w:tcPr>
          <w:p w14:paraId="18298600" w14:textId="77777777" w:rsidR="0003195E" w:rsidRDefault="0003195E" w:rsidP="00642CA0">
            <w:pPr>
              <w:rPr>
                <w:rFonts w:ascii="Calibri" w:eastAsiaTheme="minorHAnsi" w:hAnsi="Calibri" w:cs="Calibri"/>
              </w:rPr>
            </w:pPr>
          </w:p>
        </w:tc>
        <w:tc>
          <w:tcPr>
            <w:tcW w:w="1000" w:type="dxa"/>
            <w:tcBorders>
              <w:top w:val="nil"/>
              <w:left w:val="nil"/>
              <w:bottom w:val="single" w:sz="8" w:space="0" w:color="auto"/>
              <w:right w:val="single" w:sz="8" w:space="0" w:color="auto"/>
            </w:tcBorders>
            <w:shd w:val="clear" w:color="auto" w:fill="DBE5F1"/>
            <w:hideMark/>
          </w:tcPr>
          <w:p w14:paraId="0C067509" w14:textId="77777777" w:rsidR="0003195E" w:rsidRDefault="0003195E" w:rsidP="00642CA0">
            <w:pPr>
              <w:pStyle w:val="NormalWeb"/>
              <w:jc w:val="center"/>
            </w:pPr>
            <w:r>
              <w:rPr>
                <w:rFonts w:ascii="Aptos" w:hAnsi="Aptos"/>
                <w:color w:val="000000"/>
              </w:rPr>
              <w:t>2</w:t>
            </w:r>
          </w:p>
        </w:tc>
        <w:tc>
          <w:tcPr>
            <w:tcW w:w="884" w:type="dxa"/>
            <w:tcBorders>
              <w:top w:val="nil"/>
              <w:left w:val="nil"/>
              <w:bottom w:val="single" w:sz="8" w:space="0" w:color="auto"/>
              <w:right w:val="single" w:sz="8" w:space="0" w:color="auto"/>
            </w:tcBorders>
            <w:shd w:val="clear" w:color="auto" w:fill="DBE5F1"/>
            <w:hideMark/>
          </w:tcPr>
          <w:p w14:paraId="6EC4953C" w14:textId="77777777" w:rsidR="0003195E" w:rsidRDefault="0003195E" w:rsidP="00642CA0">
            <w:pPr>
              <w:pStyle w:val="NormalWeb"/>
              <w:jc w:val="center"/>
            </w:pPr>
            <w:r>
              <w:rPr>
                <w:rFonts w:ascii="Aptos" w:hAnsi="Aptos"/>
                <w:color w:val="000000"/>
              </w:rPr>
              <w:t>3</w:t>
            </w:r>
          </w:p>
        </w:tc>
        <w:tc>
          <w:tcPr>
            <w:tcW w:w="0" w:type="auto"/>
            <w:vMerge/>
            <w:tcBorders>
              <w:top w:val="nil"/>
              <w:left w:val="nil"/>
              <w:bottom w:val="single" w:sz="8" w:space="0" w:color="auto"/>
              <w:right w:val="single" w:sz="8" w:space="0" w:color="auto"/>
            </w:tcBorders>
            <w:vAlign w:val="center"/>
            <w:hideMark/>
          </w:tcPr>
          <w:p w14:paraId="069E1D21" w14:textId="77777777" w:rsidR="0003195E" w:rsidRDefault="0003195E" w:rsidP="00642CA0">
            <w:pPr>
              <w:rPr>
                <w:rFonts w:ascii="Calibri" w:eastAsiaTheme="minorHAnsi" w:hAnsi="Calibri" w:cs="Calibri"/>
              </w:rPr>
            </w:pPr>
          </w:p>
        </w:tc>
      </w:tr>
      <w:tr w:rsidR="006A11A8" w14:paraId="5F5D0460" w14:textId="77777777" w:rsidTr="00566AA9">
        <w:tc>
          <w:tcPr>
            <w:tcW w:w="3915" w:type="dxa"/>
            <w:tcBorders>
              <w:top w:val="nil"/>
              <w:left w:val="single" w:sz="8" w:space="0" w:color="auto"/>
              <w:bottom w:val="single" w:sz="8" w:space="0" w:color="auto"/>
              <w:right w:val="single" w:sz="8" w:space="0" w:color="auto"/>
            </w:tcBorders>
            <w:vAlign w:val="bottom"/>
            <w:hideMark/>
          </w:tcPr>
          <w:p w14:paraId="21034C5A" w14:textId="70E2D8FE" w:rsidR="006A11A8" w:rsidRDefault="006A11A8" w:rsidP="006A11A8">
            <w:pPr>
              <w:pStyle w:val="NormalWeb"/>
            </w:pPr>
            <w:r w:rsidRPr="0003195E">
              <w:rPr>
                <w:color w:val="000000"/>
              </w:rPr>
              <w:t>North Cumbria Integrated Care FT</w:t>
            </w:r>
          </w:p>
        </w:tc>
        <w:tc>
          <w:tcPr>
            <w:tcW w:w="1766" w:type="dxa"/>
            <w:tcBorders>
              <w:top w:val="nil"/>
              <w:left w:val="nil"/>
              <w:bottom w:val="single" w:sz="8" w:space="0" w:color="auto"/>
              <w:right w:val="single" w:sz="8" w:space="0" w:color="auto"/>
            </w:tcBorders>
            <w:vAlign w:val="center"/>
            <w:hideMark/>
          </w:tcPr>
          <w:p w14:paraId="1694D577" w14:textId="4F6CE065" w:rsidR="006A11A8" w:rsidRDefault="006A11A8" w:rsidP="006D4FD6">
            <w:pPr>
              <w:pStyle w:val="NormalWeb"/>
              <w:jc w:val="center"/>
            </w:pPr>
            <w:r>
              <w:rPr>
                <w:color w:val="000000"/>
              </w:rPr>
              <w:t>15</w:t>
            </w:r>
          </w:p>
        </w:tc>
        <w:tc>
          <w:tcPr>
            <w:tcW w:w="1000" w:type="dxa"/>
            <w:tcBorders>
              <w:top w:val="nil"/>
              <w:left w:val="nil"/>
              <w:bottom w:val="single" w:sz="8" w:space="0" w:color="auto"/>
              <w:right w:val="single" w:sz="8" w:space="0" w:color="auto"/>
            </w:tcBorders>
            <w:vAlign w:val="center"/>
            <w:hideMark/>
          </w:tcPr>
          <w:p w14:paraId="66CDF59E" w14:textId="7A13D920" w:rsidR="006A11A8" w:rsidRDefault="006A11A8" w:rsidP="006A11A8">
            <w:pPr>
              <w:pStyle w:val="NormalWeb"/>
              <w:jc w:val="center"/>
            </w:pPr>
            <w:r>
              <w:rPr>
                <w:color w:val="000000"/>
              </w:rPr>
              <w:t>6</w:t>
            </w:r>
          </w:p>
        </w:tc>
        <w:tc>
          <w:tcPr>
            <w:tcW w:w="884" w:type="dxa"/>
            <w:tcBorders>
              <w:top w:val="nil"/>
              <w:left w:val="nil"/>
              <w:bottom w:val="single" w:sz="8" w:space="0" w:color="auto"/>
              <w:right w:val="single" w:sz="8" w:space="0" w:color="auto"/>
            </w:tcBorders>
            <w:vAlign w:val="center"/>
            <w:hideMark/>
          </w:tcPr>
          <w:p w14:paraId="0654A1DE" w14:textId="7CD4B3A8" w:rsidR="006A11A8" w:rsidRDefault="006A11A8" w:rsidP="006A11A8">
            <w:pPr>
              <w:pStyle w:val="NormalWeb"/>
              <w:jc w:val="center"/>
            </w:pPr>
            <w:r>
              <w:rPr>
                <w:color w:val="000000"/>
              </w:rPr>
              <w:t>9</w:t>
            </w:r>
          </w:p>
        </w:tc>
        <w:tc>
          <w:tcPr>
            <w:tcW w:w="1451" w:type="dxa"/>
            <w:tcBorders>
              <w:top w:val="nil"/>
              <w:left w:val="nil"/>
              <w:bottom w:val="single" w:sz="8" w:space="0" w:color="auto"/>
              <w:right w:val="single" w:sz="8" w:space="0" w:color="auto"/>
            </w:tcBorders>
            <w:vAlign w:val="center"/>
            <w:hideMark/>
          </w:tcPr>
          <w:p w14:paraId="77D27199" w14:textId="3870EEA6" w:rsidR="006A11A8" w:rsidRDefault="006A11A8" w:rsidP="006D4FD6">
            <w:pPr>
              <w:pStyle w:val="NormalWeb"/>
              <w:jc w:val="center"/>
            </w:pPr>
            <w:r>
              <w:rPr>
                <w:color w:val="000000"/>
              </w:rPr>
              <w:t>11</w:t>
            </w:r>
          </w:p>
        </w:tc>
      </w:tr>
      <w:tr w:rsidR="006A11A8" w14:paraId="50DE2C8D" w14:textId="77777777" w:rsidTr="00096457">
        <w:tc>
          <w:tcPr>
            <w:tcW w:w="3915" w:type="dxa"/>
            <w:tcBorders>
              <w:top w:val="nil"/>
              <w:left w:val="single" w:sz="8" w:space="0" w:color="auto"/>
              <w:bottom w:val="single" w:sz="8" w:space="0" w:color="auto"/>
              <w:right w:val="single" w:sz="8" w:space="0" w:color="auto"/>
            </w:tcBorders>
            <w:vAlign w:val="bottom"/>
            <w:hideMark/>
          </w:tcPr>
          <w:p w14:paraId="0E7DB237" w14:textId="379E557B" w:rsidR="006A11A8" w:rsidRDefault="006A11A8" w:rsidP="006A11A8">
            <w:pPr>
              <w:pStyle w:val="NormalWeb"/>
            </w:pPr>
            <w:r w:rsidRPr="0003195E">
              <w:rPr>
                <w:color w:val="000000"/>
              </w:rPr>
              <w:t>Newcastle Upon Tyne Hospitals FT</w:t>
            </w:r>
          </w:p>
        </w:tc>
        <w:tc>
          <w:tcPr>
            <w:tcW w:w="1766" w:type="dxa"/>
            <w:tcBorders>
              <w:top w:val="nil"/>
              <w:left w:val="nil"/>
              <w:bottom w:val="single" w:sz="8" w:space="0" w:color="auto"/>
              <w:right w:val="single" w:sz="8" w:space="0" w:color="auto"/>
            </w:tcBorders>
            <w:vAlign w:val="center"/>
            <w:hideMark/>
          </w:tcPr>
          <w:p w14:paraId="072AAB92" w14:textId="1411F8EF" w:rsidR="006A11A8" w:rsidRDefault="006A11A8" w:rsidP="006D4FD6">
            <w:pPr>
              <w:pStyle w:val="NormalWeb"/>
              <w:jc w:val="center"/>
            </w:pPr>
            <w:r>
              <w:rPr>
                <w:color w:val="000000"/>
              </w:rPr>
              <w:t>86</w:t>
            </w:r>
          </w:p>
        </w:tc>
        <w:tc>
          <w:tcPr>
            <w:tcW w:w="1000" w:type="dxa"/>
            <w:tcBorders>
              <w:top w:val="nil"/>
              <w:left w:val="nil"/>
              <w:bottom w:val="single" w:sz="8" w:space="0" w:color="auto"/>
              <w:right w:val="single" w:sz="8" w:space="0" w:color="auto"/>
            </w:tcBorders>
            <w:vAlign w:val="center"/>
            <w:hideMark/>
          </w:tcPr>
          <w:p w14:paraId="0B04AD60" w14:textId="3F0DD5ED" w:rsidR="006A11A8" w:rsidRDefault="006A11A8" w:rsidP="006A11A8">
            <w:pPr>
              <w:pStyle w:val="NormalWeb"/>
              <w:jc w:val="center"/>
            </w:pPr>
            <w:r>
              <w:rPr>
                <w:color w:val="000000"/>
              </w:rPr>
              <w:t>40</w:t>
            </w:r>
          </w:p>
        </w:tc>
        <w:tc>
          <w:tcPr>
            <w:tcW w:w="884" w:type="dxa"/>
            <w:tcBorders>
              <w:top w:val="nil"/>
              <w:left w:val="nil"/>
              <w:bottom w:val="single" w:sz="8" w:space="0" w:color="auto"/>
              <w:right w:val="single" w:sz="8" w:space="0" w:color="auto"/>
            </w:tcBorders>
            <w:vAlign w:val="center"/>
            <w:hideMark/>
          </w:tcPr>
          <w:p w14:paraId="4D7BEB3B" w14:textId="4E3D5CE2" w:rsidR="006A11A8" w:rsidRDefault="006A11A8" w:rsidP="006A11A8">
            <w:pPr>
              <w:pStyle w:val="NormalWeb"/>
              <w:jc w:val="center"/>
            </w:pPr>
            <w:r>
              <w:rPr>
                <w:color w:val="000000"/>
              </w:rPr>
              <w:t>46</w:t>
            </w:r>
          </w:p>
        </w:tc>
        <w:tc>
          <w:tcPr>
            <w:tcW w:w="1451" w:type="dxa"/>
            <w:tcBorders>
              <w:top w:val="nil"/>
              <w:left w:val="nil"/>
              <w:bottom w:val="single" w:sz="8" w:space="0" w:color="auto"/>
              <w:right w:val="single" w:sz="8" w:space="0" w:color="auto"/>
            </w:tcBorders>
            <w:vAlign w:val="center"/>
            <w:hideMark/>
          </w:tcPr>
          <w:p w14:paraId="25FC087B" w14:textId="49C00279" w:rsidR="006A11A8" w:rsidRDefault="006A11A8" w:rsidP="006D4FD6">
            <w:pPr>
              <w:pStyle w:val="NormalWeb"/>
              <w:jc w:val="center"/>
            </w:pPr>
            <w:r>
              <w:rPr>
                <w:color w:val="000000"/>
              </w:rPr>
              <w:t>66</w:t>
            </w:r>
          </w:p>
        </w:tc>
      </w:tr>
      <w:tr w:rsidR="006A11A8" w14:paraId="1B44DD26" w14:textId="77777777" w:rsidTr="005064CF">
        <w:tc>
          <w:tcPr>
            <w:tcW w:w="3915" w:type="dxa"/>
            <w:tcBorders>
              <w:top w:val="nil"/>
              <w:left w:val="single" w:sz="8" w:space="0" w:color="auto"/>
              <w:bottom w:val="single" w:sz="8" w:space="0" w:color="auto"/>
              <w:right w:val="single" w:sz="8" w:space="0" w:color="auto"/>
            </w:tcBorders>
            <w:vAlign w:val="bottom"/>
            <w:hideMark/>
          </w:tcPr>
          <w:p w14:paraId="765FFD34" w14:textId="1D216756" w:rsidR="006A11A8" w:rsidRDefault="006A11A8" w:rsidP="006A11A8">
            <w:pPr>
              <w:pStyle w:val="NormalWeb"/>
            </w:pPr>
            <w:r w:rsidRPr="0003195E">
              <w:rPr>
                <w:color w:val="000000"/>
              </w:rPr>
              <w:t>Northumbria Healthcare NHS FT</w:t>
            </w:r>
          </w:p>
        </w:tc>
        <w:tc>
          <w:tcPr>
            <w:tcW w:w="1766" w:type="dxa"/>
            <w:tcBorders>
              <w:top w:val="nil"/>
              <w:left w:val="nil"/>
              <w:bottom w:val="single" w:sz="8" w:space="0" w:color="auto"/>
              <w:right w:val="single" w:sz="8" w:space="0" w:color="auto"/>
            </w:tcBorders>
            <w:vAlign w:val="center"/>
            <w:hideMark/>
          </w:tcPr>
          <w:p w14:paraId="5B81A7E1" w14:textId="20BD845D" w:rsidR="006A11A8" w:rsidRDefault="006A11A8" w:rsidP="006D4FD6">
            <w:pPr>
              <w:pStyle w:val="NormalWeb"/>
              <w:jc w:val="center"/>
            </w:pPr>
            <w:r>
              <w:rPr>
                <w:color w:val="000000"/>
              </w:rPr>
              <w:t>15</w:t>
            </w:r>
          </w:p>
        </w:tc>
        <w:tc>
          <w:tcPr>
            <w:tcW w:w="1000" w:type="dxa"/>
            <w:tcBorders>
              <w:top w:val="nil"/>
              <w:left w:val="nil"/>
              <w:bottom w:val="single" w:sz="8" w:space="0" w:color="auto"/>
              <w:right w:val="single" w:sz="8" w:space="0" w:color="auto"/>
            </w:tcBorders>
            <w:vAlign w:val="center"/>
            <w:hideMark/>
          </w:tcPr>
          <w:p w14:paraId="18124379" w14:textId="053C1FBD" w:rsidR="006A11A8" w:rsidRDefault="006A11A8" w:rsidP="006A11A8">
            <w:pPr>
              <w:pStyle w:val="NormalWeb"/>
              <w:jc w:val="center"/>
            </w:pPr>
            <w:r>
              <w:rPr>
                <w:color w:val="000000"/>
              </w:rPr>
              <w:t>8</w:t>
            </w:r>
          </w:p>
        </w:tc>
        <w:tc>
          <w:tcPr>
            <w:tcW w:w="884" w:type="dxa"/>
            <w:tcBorders>
              <w:top w:val="nil"/>
              <w:left w:val="nil"/>
              <w:bottom w:val="single" w:sz="8" w:space="0" w:color="auto"/>
              <w:right w:val="single" w:sz="8" w:space="0" w:color="auto"/>
            </w:tcBorders>
            <w:vAlign w:val="center"/>
            <w:hideMark/>
          </w:tcPr>
          <w:p w14:paraId="0FB33F8B" w14:textId="2DF4EC68" w:rsidR="006A11A8" w:rsidRDefault="006A11A8" w:rsidP="006A11A8">
            <w:pPr>
              <w:pStyle w:val="NormalWeb"/>
              <w:jc w:val="center"/>
            </w:pPr>
            <w:r>
              <w:rPr>
                <w:color w:val="000000"/>
              </w:rPr>
              <w:t>7</w:t>
            </w:r>
          </w:p>
        </w:tc>
        <w:tc>
          <w:tcPr>
            <w:tcW w:w="1451" w:type="dxa"/>
            <w:tcBorders>
              <w:top w:val="nil"/>
              <w:left w:val="nil"/>
              <w:bottom w:val="single" w:sz="8" w:space="0" w:color="auto"/>
              <w:right w:val="single" w:sz="8" w:space="0" w:color="auto"/>
            </w:tcBorders>
            <w:vAlign w:val="center"/>
            <w:hideMark/>
          </w:tcPr>
          <w:p w14:paraId="6A996F04" w14:textId="291D3D31" w:rsidR="006A11A8" w:rsidRDefault="006A11A8" w:rsidP="006D4FD6">
            <w:pPr>
              <w:pStyle w:val="NormalWeb"/>
              <w:jc w:val="center"/>
            </w:pPr>
            <w:r>
              <w:rPr>
                <w:color w:val="000000"/>
              </w:rPr>
              <w:t>11</w:t>
            </w:r>
          </w:p>
        </w:tc>
      </w:tr>
      <w:tr w:rsidR="006A11A8" w14:paraId="235744C2" w14:textId="77777777" w:rsidTr="00DE676E">
        <w:tc>
          <w:tcPr>
            <w:tcW w:w="3915" w:type="dxa"/>
            <w:tcBorders>
              <w:top w:val="nil"/>
              <w:left w:val="single" w:sz="8" w:space="0" w:color="auto"/>
              <w:bottom w:val="single" w:sz="8" w:space="0" w:color="auto"/>
              <w:right w:val="single" w:sz="8" w:space="0" w:color="auto"/>
            </w:tcBorders>
            <w:vAlign w:val="bottom"/>
            <w:hideMark/>
          </w:tcPr>
          <w:p w14:paraId="3BE4B579" w14:textId="2F7D9944" w:rsidR="006A11A8" w:rsidRDefault="006A11A8" w:rsidP="006A11A8">
            <w:pPr>
              <w:pStyle w:val="NormalWeb"/>
            </w:pPr>
            <w:r w:rsidRPr="0003195E">
              <w:rPr>
                <w:color w:val="000000"/>
              </w:rPr>
              <w:t>South Tyneside &amp; Sunderland FT</w:t>
            </w:r>
          </w:p>
        </w:tc>
        <w:tc>
          <w:tcPr>
            <w:tcW w:w="1766" w:type="dxa"/>
            <w:tcBorders>
              <w:top w:val="nil"/>
              <w:left w:val="nil"/>
              <w:bottom w:val="single" w:sz="8" w:space="0" w:color="auto"/>
              <w:right w:val="single" w:sz="8" w:space="0" w:color="auto"/>
            </w:tcBorders>
            <w:vAlign w:val="center"/>
            <w:hideMark/>
          </w:tcPr>
          <w:p w14:paraId="5012C56A" w14:textId="05722CFF" w:rsidR="006A11A8" w:rsidRDefault="006A11A8" w:rsidP="006D4FD6">
            <w:pPr>
              <w:pStyle w:val="NormalWeb"/>
              <w:jc w:val="center"/>
            </w:pPr>
            <w:r>
              <w:rPr>
                <w:color w:val="000000"/>
              </w:rPr>
              <w:t>22</w:t>
            </w:r>
          </w:p>
        </w:tc>
        <w:tc>
          <w:tcPr>
            <w:tcW w:w="1000" w:type="dxa"/>
            <w:tcBorders>
              <w:top w:val="nil"/>
              <w:left w:val="nil"/>
              <w:bottom w:val="single" w:sz="8" w:space="0" w:color="auto"/>
              <w:right w:val="single" w:sz="8" w:space="0" w:color="auto"/>
            </w:tcBorders>
            <w:vAlign w:val="center"/>
            <w:hideMark/>
          </w:tcPr>
          <w:p w14:paraId="7B2C40E8" w14:textId="6EF434A5" w:rsidR="006A11A8" w:rsidRDefault="006A11A8" w:rsidP="006A11A8">
            <w:pPr>
              <w:pStyle w:val="NormalWeb"/>
              <w:jc w:val="center"/>
            </w:pPr>
            <w:r>
              <w:rPr>
                <w:color w:val="000000"/>
              </w:rPr>
              <w:t>10</w:t>
            </w:r>
          </w:p>
        </w:tc>
        <w:tc>
          <w:tcPr>
            <w:tcW w:w="884" w:type="dxa"/>
            <w:tcBorders>
              <w:top w:val="nil"/>
              <w:left w:val="nil"/>
              <w:bottom w:val="single" w:sz="8" w:space="0" w:color="auto"/>
              <w:right w:val="single" w:sz="8" w:space="0" w:color="auto"/>
            </w:tcBorders>
            <w:vAlign w:val="center"/>
            <w:hideMark/>
          </w:tcPr>
          <w:p w14:paraId="6BC2F678" w14:textId="412A9D4A" w:rsidR="006A11A8" w:rsidRDefault="006A11A8" w:rsidP="006A11A8">
            <w:pPr>
              <w:pStyle w:val="NormalWeb"/>
              <w:jc w:val="center"/>
            </w:pPr>
            <w:r>
              <w:rPr>
                <w:color w:val="000000"/>
              </w:rPr>
              <w:t>12</w:t>
            </w:r>
          </w:p>
        </w:tc>
        <w:tc>
          <w:tcPr>
            <w:tcW w:w="1451" w:type="dxa"/>
            <w:tcBorders>
              <w:top w:val="nil"/>
              <w:left w:val="nil"/>
              <w:bottom w:val="single" w:sz="8" w:space="0" w:color="auto"/>
              <w:right w:val="single" w:sz="8" w:space="0" w:color="auto"/>
            </w:tcBorders>
            <w:vAlign w:val="center"/>
            <w:hideMark/>
          </w:tcPr>
          <w:p w14:paraId="317652E7" w14:textId="42C7EC2A" w:rsidR="006A11A8" w:rsidRDefault="006A11A8" w:rsidP="006D4FD6">
            <w:pPr>
              <w:pStyle w:val="NormalWeb"/>
              <w:jc w:val="center"/>
            </w:pPr>
            <w:r>
              <w:rPr>
                <w:color w:val="000000"/>
              </w:rPr>
              <w:t>17</w:t>
            </w:r>
          </w:p>
        </w:tc>
      </w:tr>
      <w:tr w:rsidR="006A11A8" w14:paraId="01CE25D6" w14:textId="77777777" w:rsidTr="00A2791D">
        <w:tc>
          <w:tcPr>
            <w:tcW w:w="3915" w:type="dxa"/>
            <w:tcBorders>
              <w:top w:val="nil"/>
              <w:left w:val="single" w:sz="8" w:space="0" w:color="auto"/>
              <w:bottom w:val="single" w:sz="8" w:space="0" w:color="auto"/>
              <w:right w:val="single" w:sz="8" w:space="0" w:color="auto"/>
            </w:tcBorders>
            <w:vAlign w:val="bottom"/>
            <w:hideMark/>
          </w:tcPr>
          <w:p w14:paraId="65F57BF9" w14:textId="320A0994" w:rsidR="006A11A8" w:rsidRDefault="006A11A8" w:rsidP="006A11A8">
            <w:pPr>
              <w:pStyle w:val="NormalWeb"/>
            </w:pPr>
            <w:r w:rsidRPr="0003195E">
              <w:rPr>
                <w:color w:val="000000"/>
              </w:rPr>
              <w:t>Gateshead Health FT</w:t>
            </w:r>
          </w:p>
        </w:tc>
        <w:tc>
          <w:tcPr>
            <w:tcW w:w="1766" w:type="dxa"/>
            <w:tcBorders>
              <w:top w:val="nil"/>
              <w:left w:val="nil"/>
              <w:bottom w:val="single" w:sz="8" w:space="0" w:color="auto"/>
              <w:right w:val="single" w:sz="8" w:space="0" w:color="auto"/>
            </w:tcBorders>
            <w:vAlign w:val="center"/>
            <w:hideMark/>
          </w:tcPr>
          <w:p w14:paraId="15A1F3D3" w14:textId="0EF59B75" w:rsidR="006A11A8" w:rsidRDefault="006A11A8" w:rsidP="006D4FD6">
            <w:pPr>
              <w:pStyle w:val="NormalWeb"/>
              <w:jc w:val="center"/>
            </w:pPr>
            <w:r>
              <w:rPr>
                <w:color w:val="000000"/>
              </w:rPr>
              <w:t>12</w:t>
            </w:r>
          </w:p>
        </w:tc>
        <w:tc>
          <w:tcPr>
            <w:tcW w:w="1000" w:type="dxa"/>
            <w:tcBorders>
              <w:top w:val="nil"/>
              <w:left w:val="nil"/>
              <w:bottom w:val="single" w:sz="8" w:space="0" w:color="auto"/>
              <w:right w:val="single" w:sz="8" w:space="0" w:color="auto"/>
            </w:tcBorders>
            <w:vAlign w:val="center"/>
            <w:hideMark/>
          </w:tcPr>
          <w:p w14:paraId="01139C81" w14:textId="27BA21EE" w:rsidR="006A11A8" w:rsidRDefault="006A11A8" w:rsidP="006A11A8">
            <w:pPr>
              <w:pStyle w:val="NormalWeb"/>
              <w:jc w:val="center"/>
            </w:pPr>
            <w:r>
              <w:rPr>
                <w:color w:val="000000"/>
              </w:rPr>
              <w:t>6</w:t>
            </w:r>
          </w:p>
        </w:tc>
        <w:tc>
          <w:tcPr>
            <w:tcW w:w="884" w:type="dxa"/>
            <w:tcBorders>
              <w:top w:val="nil"/>
              <w:left w:val="nil"/>
              <w:bottom w:val="single" w:sz="8" w:space="0" w:color="auto"/>
              <w:right w:val="single" w:sz="8" w:space="0" w:color="auto"/>
            </w:tcBorders>
            <w:vAlign w:val="center"/>
            <w:hideMark/>
          </w:tcPr>
          <w:p w14:paraId="6867B2D7" w14:textId="650E6F7A" w:rsidR="006A11A8" w:rsidRDefault="006A11A8" w:rsidP="006A11A8">
            <w:pPr>
              <w:pStyle w:val="NormalWeb"/>
              <w:jc w:val="center"/>
            </w:pPr>
            <w:r>
              <w:rPr>
                <w:color w:val="000000"/>
              </w:rPr>
              <w:t>6</w:t>
            </w:r>
          </w:p>
        </w:tc>
        <w:tc>
          <w:tcPr>
            <w:tcW w:w="1451" w:type="dxa"/>
            <w:tcBorders>
              <w:top w:val="nil"/>
              <w:left w:val="nil"/>
              <w:bottom w:val="single" w:sz="8" w:space="0" w:color="auto"/>
              <w:right w:val="single" w:sz="8" w:space="0" w:color="auto"/>
            </w:tcBorders>
            <w:vAlign w:val="center"/>
            <w:hideMark/>
          </w:tcPr>
          <w:p w14:paraId="6D44C1DD" w14:textId="68CA1421" w:rsidR="006A11A8" w:rsidRDefault="006A11A8" w:rsidP="006D4FD6">
            <w:pPr>
              <w:pStyle w:val="NormalWeb"/>
              <w:jc w:val="center"/>
            </w:pPr>
            <w:r>
              <w:rPr>
                <w:color w:val="000000"/>
              </w:rPr>
              <w:t>9</w:t>
            </w:r>
          </w:p>
        </w:tc>
      </w:tr>
      <w:tr w:rsidR="006A11A8" w14:paraId="38797B48" w14:textId="77777777" w:rsidTr="00817704">
        <w:tc>
          <w:tcPr>
            <w:tcW w:w="3915" w:type="dxa"/>
            <w:tcBorders>
              <w:top w:val="nil"/>
              <w:left w:val="single" w:sz="8" w:space="0" w:color="auto"/>
              <w:bottom w:val="single" w:sz="8" w:space="0" w:color="auto"/>
              <w:right w:val="single" w:sz="8" w:space="0" w:color="auto"/>
            </w:tcBorders>
            <w:vAlign w:val="bottom"/>
          </w:tcPr>
          <w:p w14:paraId="4EDF07E2" w14:textId="2E93AA6D" w:rsidR="006A11A8" w:rsidRDefault="006A11A8" w:rsidP="006A11A8">
            <w:pPr>
              <w:pStyle w:val="NormalWeb"/>
            </w:pPr>
            <w:r w:rsidRPr="0003195E">
              <w:rPr>
                <w:color w:val="000000"/>
              </w:rPr>
              <w:t>County Durham &amp; Darlington FT</w:t>
            </w:r>
          </w:p>
        </w:tc>
        <w:tc>
          <w:tcPr>
            <w:tcW w:w="1766" w:type="dxa"/>
            <w:tcBorders>
              <w:top w:val="nil"/>
              <w:left w:val="nil"/>
              <w:bottom w:val="single" w:sz="8" w:space="0" w:color="auto"/>
              <w:right w:val="single" w:sz="8" w:space="0" w:color="auto"/>
            </w:tcBorders>
            <w:vAlign w:val="center"/>
          </w:tcPr>
          <w:p w14:paraId="5D3E4E7A" w14:textId="71FDF6AE" w:rsidR="006A11A8" w:rsidRDefault="006A11A8" w:rsidP="006D4FD6">
            <w:pPr>
              <w:pStyle w:val="NormalWeb"/>
              <w:jc w:val="center"/>
              <w:rPr>
                <w:rFonts w:ascii="Aptos" w:hAnsi="Aptos"/>
                <w:color w:val="000000"/>
                <w:sz w:val="20"/>
                <w:szCs w:val="20"/>
              </w:rPr>
            </w:pPr>
            <w:r>
              <w:rPr>
                <w:color w:val="000000"/>
              </w:rPr>
              <w:t>21</w:t>
            </w:r>
          </w:p>
        </w:tc>
        <w:tc>
          <w:tcPr>
            <w:tcW w:w="1000" w:type="dxa"/>
            <w:tcBorders>
              <w:top w:val="nil"/>
              <w:left w:val="nil"/>
              <w:bottom w:val="single" w:sz="8" w:space="0" w:color="auto"/>
              <w:right w:val="single" w:sz="8" w:space="0" w:color="auto"/>
            </w:tcBorders>
            <w:vAlign w:val="center"/>
          </w:tcPr>
          <w:p w14:paraId="3A55954F" w14:textId="36ED5E4F" w:rsidR="006A11A8" w:rsidRDefault="006A11A8" w:rsidP="006A11A8">
            <w:pPr>
              <w:pStyle w:val="NormalWeb"/>
              <w:jc w:val="center"/>
              <w:rPr>
                <w:rFonts w:ascii="Aptos" w:hAnsi="Aptos"/>
                <w:color w:val="000000"/>
                <w:sz w:val="20"/>
                <w:szCs w:val="20"/>
              </w:rPr>
            </w:pPr>
            <w:r>
              <w:rPr>
                <w:color w:val="000000"/>
              </w:rPr>
              <w:t>10</w:t>
            </w:r>
          </w:p>
        </w:tc>
        <w:tc>
          <w:tcPr>
            <w:tcW w:w="884" w:type="dxa"/>
            <w:tcBorders>
              <w:top w:val="nil"/>
              <w:left w:val="nil"/>
              <w:bottom w:val="single" w:sz="8" w:space="0" w:color="auto"/>
              <w:right w:val="single" w:sz="8" w:space="0" w:color="auto"/>
            </w:tcBorders>
            <w:vAlign w:val="center"/>
          </w:tcPr>
          <w:p w14:paraId="004DBC43" w14:textId="4B47C228" w:rsidR="006A11A8" w:rsidRDefault="006A11A8" w:rsidP="006A11A8">
            <w:pPr>
              <w:pStyle w:val="NormalWeb"/>
              <w:jc w:val="center"/>
              <w:rPr>
                <w:rFonts w:ascii="Aptos" w:hAnsi="Aptos"/>
                <w:color w:val="000000"/>
                <w:sz w:val="20"/>
                <w:szCs w:val="20"/>
              </w:rPr>
            </w:pPr>
            <w:r>
              <w:rPr>
                <w:color w:val="000000"/>
              </w:rPr>
              <w:t>11</w:t>
            </w:r>
          </w:p>
        </w:tc>
        <w:tc>
          <w:tcPr>
            <w:tcW w:w="1451" w:type="dxa"/>
            <w:tcBorders>
              <w:top w:val="nil"/>
              <w:left w:val="nil"/>
              <w:bottom w:val="single" w:sz="8" w:space="0" w:color="auto"/>
              <w:right w:val="single" w:sz="8" w:space="0" w:color="auto"/>
            </w:tcBorders>
            <w:vAlign w:val="center"/>
          </w:tcPr>
          <w:p w14:paraId="413C1189" w14:textId="1AF060FC" w:rsidR="006A11A8" w:rsidRDefault="006A11A8" w:rsidP="006D4FD6">
            <w:pPr>
              <w:pStyle w:val="NormalWeb"/>
              <w:jc w:val="center"/>
              <w:rPr>
                <w:rFonts w:ascii="Aptos" w:hAnsi="Aptos"/>
                <w:color w:val="000000"/>
                <w:sz w:val="20"/>
                <w:szCs w:val="20"/>
              </w:rPr>
            </w:pPr>
            <w:r>
              <w:rPr>
                <w:color w:val="000000"/>
              </w:rPr>
              <w:t>16</w:t>
            </w:r>
          </w:p>
        </w:tc>
      </w:tr>
      <w:tr w:rsidR="006A11A8" w14:paraId="4910C4B3" w14:textId="77777777" w:rsidTr="00FE30FF">
        <w:tc>
          <w:tcPr>
            <w:tcW w:w="3915" w:type="dxa"/>
            <w:tcBorders>
              <w:top w:val="nil"/>
              <w:left w:val="single" w:sz="8" w:space="0" w:color="auto"/>
              <w:bottom w:val="single" w:sz="8" w:space="0" w:color="auto"/>
              <w:right w:val="single" w:sz="8" w:space="0" w:color="auto"/>
            </w:tcBorders>
            <w:vAlign w:val="bottom"/>
          </w:tcPr>
          <w:p w14:paraId="1E2394E4" w14:textId="579049C9" w:rsidR="006A11A8" w:rsidRDefault="006A11A8" w:rsidP="006A11A8">
            <w:pPr>
              <w:pStyle w:val="NormalWeb"/>
            </w:pPr>
            <w:r w:rsidRPr="0003195E">
              <w:rPr>
                <w:color w:val="000000"/>
              </w:rPr>
              <w:t>North Tees &amp; Hartlepool FT</w:t>
            </w:r>
          </w:p>
        </w:tc>
        <w:tc>
          <w:tcPr>
            <w:tcW w:w="1766" w:type="dxa"/>
            <w:tcBorders>
              <w:top w:val="nil"/>
              <w:left w:val="nil"/>
              <w:bottom w:val="single" w:sz="8" w:space="0" w:color="auto"/>
              <w:right w:val="single" w:sz="8" w:space="0" w:color="auto"/>
            </w:tcBorders>
            <w:vAlign w:val="center"/>
          </w:tcPr>
          <w:p w14:paraId="5613A2FA" w14:textId="556B8AAC" w:rsidR="006A11A8" w:rsidRDefault="006A11A8" w:rsidP="006D4FD6">
            <w:pPr>
              <w:pStyle w:val="NormalWeb"/>
              <w:jc w:val="center"/>
              <w:rPr>
                <w:rFonts w:ascii="Aptos" w:hAnsi="Aptos"/>
                <w:color w:val="000000"/>
                <w:sz w:val="20"/>
                <w:szCs w:val="20"/>
              </w:rPr>
            </w:pPr>
            <w:r>
              <w:rPr>
                <w:color w:val="000000"/>
              </w:rPr>
              <w:t>16</w:t>
            </w:r>
          </w:p>
        </w:tc>
        <w:tc>
          <w:tcPr>
            <w:tcW w:w="1000" w:type="dxa"/>
            <w:tcBorders>
              <w:top w:val="nil"/>
              <w:left w:val="nil"/>
              <w:bottom w:val="single" w:sz="8" w:space="0" w:color="auto"/>
              <w:right w:val="single" w:sz="8" w:space="0" w:color="auto"/>
            </w:tcBorders>
            <w:vAlign w:val="center"/>
          </w:tcPr>
          <w:p w14:paraId="4A603AD8" w14:textId="19B3BC7B" w:rsidR="006A11A8" w:rsidRDefault="006A11A8" w:rsidP="006A11A8">
            <w:pPr>
              <w:pStyle w:val="NormalWeb"/>
              <w:jc w:val="center"/>
              <w:rPr>
                <w:rFonts w:ascii="Aptos" w:hAnsi="Aptos"/>
                <w:color w:val="000000"/>
                <w:sz w:val="20"/>
                <w:szCs w:val="20"/>
              </w:rPr>
            </w:pPr>
            <w:r>
              <w:rPr>
                <w:color w:val="000000"/>
              </w:rPr>
              <w:t>6</w:t>
            </w:r>
          </w:p>
        </w:tc>
        <w:tc>
          <w:tcPr>
            <w:tcW w:w="884" w:type="dxa"/>
            <w:tcBorders>
              <w:top w:val="nil"/>
              <w:left w:val="nil"/>
              <w:bottom w:val="single" w:sz="8" w:space="0" w:color="auto"/>
              <w:right w:val="single" w:sz="8" w:space="0" w:color="auto"/>
            </w:tcBorders>
            <w:vAlign w:val="center"/>
          </w:tcPr>
          <w:p w14:paraId="68BE4B21" w14:textId="1F5285EA" w:rsidR="006A11A8" w:rsidRDefault="006A11A8" w:rsidP="006A11A8">
            <w:pPr>
              <w:pStyle w:val="NormalWeb"/>
              <w:jc w:val="center"/>
              <w:rPr>
                <w:rFonts w:ascii="Aptos" w:hAnsi="Aptos"/>
                <w:color w:val="000000"/>
                <w:sz w:val="20"/>
                <w:szCs w:val="20"/>
              </w:rPr>
            </w:pPr>
            <w:r>
              <w:rPr>
                <w:color w:val="000000"/>
              </w:rPr>
              <w:t>10</w:t>
            </w:r>
          </w:p>
        </w:tc>
        <w:tc>
          <w:tcPr>
            <w:tcW w:w="1451" w:type="dxa"/>
            <w:tcBorders>
              <w:top w:val="nil"/>
              <w:left w:val="nil"/>
              <w:bottom w:val="single" w:sz="8" w:space="0" w:color="auto"/>
              <w:right w:val="single" w:sz="8" w:space="0" w:color="auto"/>
            </w:tcBorders>
            <w:vAlign w:val="center"/>
          </w:tcPr>
          <w:p w14:paraId="675528F2" w14:textId="3BE82392" w:rsidR="006A11A8" w:rsidRDefault="006A11A8" w:rsidP="006D4FD6">
            <w:pPr>
              <w:pStyle w:val="NormalWeb"/>
              <w:jc w:val="center"/>
              <w:rPr>
                <w:rFonts w:ascii="Aptos" w:hAnsi="Aptos"/>
                <w:color w:val="000000"/>
                <w:sz w:val="20"/>
                <w:szCs w:val="20"/>
              </w:rPr>
            </w:pPr>
            <w:r>
              <w:rPr>
                <w:color w:val="000000"/>
              </w:rPr>
              <w:t>13</w:t>
            </w:r>
          </w:p>
        </w:tc>
      </w:tr>
      <w:tr w:rsidR="006A11A8" w14:paraId="00212EE2" w14:textId="77777777" w:rsidTr="006C6160">
        <w:tc>
          <w:tcPr>
            <w:tcW w:w="3915" w:type="dxa"/>
            <w:tcBorders>
              <w:top w:val="nil"/>
              <w:left w:val="single" w:sz="8" w:space="0" w:color="auto"/>
              <w:bottom w:val="single" w:sz="8" w:space="0" w:color="auto"/>
              <w:right w:val="single" w:sz="8" w:space="0" w:color="auto"/>
            </w:tcBorders>
            <w:vAlign w:val="bottom"/>
            <w:hideMark/>
          </w:tcPr>
          <w:p w14:paraId="5C8E419B" w14:textId="7B8B34BB" w:rsidR="006A11A8" w:rsidRDefault="006A11A8" w:rsidP="006A11A8">
            <w:pPr>
              <w:pStyle w:val="NormalWeb"/>
            </w:pPr>
            <w:r w:rsidRPr="0003195E">
              <w:rPr>
                <w:color w:val="000000"/>
              </w:rPr>
              <w:t>South Tees FT</w:t>
            </w:r>
          </w:p>
        </w:tc>
        <w:tc>
          <w:tcPr>
            <w:tcW w:w="1766" w:type="dxa"/>
            <w:tcBorders>
              <w:top w:val="nil"/>
              <w:left w:val="nil"/>
              <w:bottom w:val="single" w:sz="8" w:space="0" w:color="auto"/>
              <w:right w:val="single" w:sz="8" w:space="0" w:color="auto"/>
            </w:tcBorders>
            <w:vAlign w:val="center"/>
            <w:hideMark/>
          </w:tcPr>
          <w:p w14:paraId="5877C05C" w14:textId="1ECCD239" w:rsidR="006A11A8" w:rsidRDefault="006A11A8" w:rsidP="006D4FD6">
            <w:pPr>
              <w:pStyle w:val="NormalWeb"/>
              <w:jc w:val="center"/>
            </w:pPr>
            <w:r>
              <w:rPr>
                <w:color w:val="000000"/>
              </w:rPr>
              <w:t>61</w:t>
            </w:r>
          </w:p>
        </w:tc>
        <w:tc>
          <w:tcPr>
            <w:tcW w:w="1000" w:type="dxa"/>
            <w:tcBorders>
              <w:top w:val="nil"/>
              <w:left w:val="nil"/>
              <w:bottom w:val="single" w:sz="8" w:space="0" w:color="auto"/>
              <w:right w:val="single" w:sz="8" w:space="0" w:color="auto"/>
            </w:tcBorders>
            <w:vAlign w:val="center"/>
            <w:hideMark/>
          </w:tcPr>
          <w:p w14:paraId="051B6D3B" w14:textId="30B43863" w:rsidR="006A11A8" w:rsidRDefault="006A11A8" w:rsidP="006A11A8">
            <w:pPr>
              <w:pStyle w:val="NormalWeb"/>
              <w:jc w:val="center"/>
            </w:pPr>
            <w:r>
              <w:rPr>
                <w:color w:val="000000"/>
              </w:rPr>
              <w:t>32</w:t>
            </w:r>
          </w:p>
        </w:tc>
        <w:tc>
          <w:tcPr>
            <w:tcW w:w="884" w:type="dxa"/>
            <w:tcBorders>
              <w:top w:val="nil"/>
              <w:left w:val="nil"/>
              <w:bottom w:val="single" w:sz="8" w:space="0" w:color="auto"/>
              <w:right w:val="single" w:sz="8" w:space="0" w:color="auto"/>
            </w:tcBorders>
            <w:vAlign w:val="center"/>
            <w:hideMark/>
          </w:tcPr>
          <w:p w14:paraId="083A21D1" w14:textId="23DE1212" w:rsidR="006A11A8" w:rsidRDefault="006A11A8" w:rsidP="006A11A8">
            <w:pPr>
              <w:pStyle w:val="NormalWeb"/>
              <w:jc w:val="center"/>
            </w:pPr>
            <w:r>
              <w:rPr>
                <w:color w:val="000000"/>
              </w:rPr>
              <w:t>29</w:t>
            </w:r>
          </w:p>
        </w:tc>
        <w:tc>
          <w:tcPr>
            <w:tcW w:w="1451" w:type="dxa"/>
            <w:tcBorders>
              <w:top w:val="nil"/>
              <w:left w:val="nil"/>
              <w:bottom w:val="single" w:sz="8" w:space="0" w:color="auto"/>
              <w:right w:val="single" w:sz="8" w:space="0" w:color="auto"/>
            </w:tcBorders>
            <w:vAlign w:val="center"/>
            <w:hideMark/>
          </w:tcPr>
          <w:p w14:paraId="392FF6F0" w14:textId="4447316D" w:rsidR="006A11A8" w:rsidRDefault="006A11A8" w:rsidP="006D4FD6">
            <w:pPr>
              <w:pStyle w:val="NormalWeb"/>
              <w:jc w:val="center"/>
            </w:pPr>
            <w:r>
              <w:rPr>
                <w:color w:val="000000"/>
              </w:rPr>
              <w:t>36</w:t>
            </w:r>
          </w:p>
        </w:tc>
      </w:tr>
      <w:tr w:rsidR="006A11A8" w14:paraId="25BA7CFA" w14:textId="77777777" w:rsidTr="003509C8">
        <w:tc>
          <w:tcPr>
            <w:tcW w:w="3915" w:type="dxa"/>
            <w:tcBorders>
              <w:top w:val="nil"/>
              <w:left w:val="single" w:sz="8" w:space="0" w:color="auto"/>
              <w:bottom w:val="single" w:sz="8" w:space="0" w:color="auto"/>
              <w:right w:val="single" w:sz="8" w:space="0" w:color="auto"/>
            </w:tcBorders>
            <w:shd w:val="clear" w:color="auto" w:fill="DBE5F1" w:themeFill="accent1" w:themeFillTint="33"/>
            <w:hideMark/>
          </w:tcPr>
          <w:p w14:paraId="1410317A" w14:textId="77777777" w:rsidR="006A11A8" w:rsidRDefault="006A11A8" w:rsidP="006A11A8">
            <w:pPr>
              <w:pStyle w:val="NormalWeb"/>
            </w:pPr>
            <w:r>
              <w:rPr>
                <w:rFonts w:ascii="Aptos" w:hAnsi="Aptos"/>
                <w:b/>
                <w:bCs/>
                <w:color w:val="000000"/>
                <w:sz w:val="20"/>
                <w:szCs w:val="20"/>
              </w:rPr>
              <w:t>Totals</w:t>
            </w:r>
          </w:p>
        </w:tc>
        <w:tc>
          <w:tcPr>
            <w:tcW w:w="1766" w:type="dxa"/>
            <w:tcBorders>
              <w:top w:val="nil"/>
              <w:left w:val="nil"/>
              <w:bottom w:val="single" w:sz="8" w:space="0" w:color="auto"/>
              <w:right w:val="single" w:sz="8" w:space="0" w:color="auto"/>
            </w:tcBorders>
            <w:shd w:val="clear" w:color="auto" w:fill="DBE5F1" w:themeFill="accent1" w:themeFillTint="33"/>
            <w:vAlign w:val="center"/>
            <w:hideMark/>
          </w:tcPr>
          <w:p w14:paraId="4C46D097" w14:textId="532A4758" w:rsidR="006A11A8" w:rsidRDefault="006A11A8" w:rsidP="006D4FD6">
            <w:pPr>
              <w:pStyle w:val="NormalWeb"/>
              <w:jc w:val="center"/>
            </w:pPr>
            <w:r>
              <w:rPr>
                <w:b/>
                <w:bCs/>
                <w:color w:val="000000"/>
              </w:rPr>
              <w:t>248</w:t>
            </w:r>
          </w:p>
        </w:tc>
        <w:tc>
          <w:tcPr>
            <w:tcW w:w="1000" w:type="dxa"/>
            <w:tcBorders>
              <w:top w:val="nil"/>
              <w:left w:val="nil"/>
              <w:bottom w:val="single" w:sz="8" w:space="0" w:color="auto"/>
              <w:right w:val="single" w:sz="8" w:space="0" w:color="auto"/>
            </w:tcBorders>
            <w:shd w:val="clear" w:color="auto" w:fill="DBE5F1" w:themeFill="accent1" w:themeFillTint="33"/>
            <w:vAlign w:val="center"/>
            <w:hideMark/>
          </w:tcPr>
          <w:p w14:paraId="53BD0CB3" w14:textId="4FF23413" w:rsidR="006A11A8" w:rsidRDefault="006A11A8" w:rsidP="006A11A8">
            <w:pPr>
              <w:pStyle w:val="NormalWeb"/>
              <w:jc w:val="center"/>
            </w:pPr>
            <w:r>
              <w:rPr>
                <w:b/>
                <w:bCs/>
                <w:color w:val="000000"/>
              </w:rPr>
              <w:t>118</w:t>
            </w:r>
          </w:p>
        </w:tc>
        <w:tc>
          <w:tcPr>
            <w:tcW w:w="884" w:type="dxa"/>
            <w:tcBorders>
              <w:top w:val="nil"/>
              <w:left w:val="nil"/>
              <w:bottom w:val="single" w:sz="8" w:space="0" w:color="auto"/>
              <w:right w:val="single" w:sz="8" w:space="0" w:color="auto"/>
            </w:tcBorders>
            <w:shd w:val="clear" w:color="auto" w:fill="DBE5F1" w:themeFill="accent1" w:themeFillTint="33"/>
            <w:vAlign w:val="center"/>
            <w:hideMark/>
          </w:tcPr>
          <w:p w14:paraId="169D04E6" w14:textId="2479187A" w:rsidR="006A11A8" w:rsidRDefault="006A11A8" w:rsidP="006A11A8">
            <w:pPr>
              <w:pStyle w:val="NormalWeb"/>
              <w:jc w:val="center"/>
            </w:pPr>
            <w:r>
              <w:rPr>
                <w:b/>
                <w:bCs/>
                <w:color w:val="000000"/>
              </w:rPr>
              <w:t>130</w:t>
            </w:r>
          </w:p>
        </w:tc>
        <w:tc>
          <w:tcPr>
            <w:tcW w:w="1451" w:type="dxa"/>
            <w:tcBorders>
              <w:top w:val="nil"/>
              <w:left w:val="nil"/>
              <w:bottom w:val="single" w:sz="8" w:space="0" w:color="auto"/>
              <w:right w:val="single" w:sz="8" w:space="0" w:color="auto"/>
            </w:tcBorders>
            <w:shd w:val="clear" w:color="auto" w:fill="DBE5F1" w:themeFill="accent1" w:themeFillTint="33"/>
            <w:vAlign w:val="center"/>
            <w:hideMark/>
          </w:tcPr>
          <w:p w14:paraId="20D1A52D" w14:textId="01046494" w:rsidR="006A11A8" w:rsidRDefault="006A11A8" w:rsidP="006D4FD6">
            <w:pPr>
              <w:pStyle w:val="NormalWeb"/>
              <w:jc w:val="center"/>
            </w:pPr>
            <w:r>
              <w:rPr>
                <w:b/>
                <w:bCs/>
                <w:color w:val="000000"/>
              </w:rPr>
              <w:t>179</w:t>
            </w:r>
          </w:p>
        </w:tc>
      </w:tr>
    </w:tbl>
    <w:p w14:paraId="59C671F7" w14:textId="77777777" w:rsidR="0003195E" w:rsidRDefault="0003195E" w:rsidP="009739E3">
      <w:pPr>
        <w:rPr>
          <w:sz w:val="28"/>
          <w:szCs w:val="28"/>
        </w:rPr>
      </w:pPr>
    </w:p>
    <w:tbl>
      <w:tblPr>
        <w:tblW w:w="0" w:type="auto"/>
        <w:tblCellMar>
          <w:left w:w="0" w:type="dxa"/>
          <w:right w:w="0" w:type="dxa"/>
        </w:tblCellMar>
        <w:tblLook w:val="04A0" w:firstRow="1" w:lastRow="0" w:firstColumn="1" w:lastColumn="0" w:noHBand="0" w:noVBand="1"/>
      </w:tblPr>
      <w:tblGrid>
        <w:gridCol w:w="3970"/>
        <w:gridCol w:w="1671"/>
        <w:gridCol w:w="1017"/>
        <w:gridCol w:w="895"/>
        <w:gridCol w:w="1463"/>
      </w:tblGrid>
      <w:tr w:rsidR="006D4FD6" w14:paraId="125F36B6" w14:textId="77777777" w:rsidTr="00642CA0">
        <w:tc>
          <w:tcPr>
            <w:tcW w:w="9016" w:type="dxa"/>
            <w:gridSpan w:val="5"/>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7FDE6896" w14:textId="77777777" w:rsidR="006D4FD6" w:rsidRPr="006D4FD6" w:rsidRDefault="006D4FD6" w:rsidP="00642CA0">
            <w:pPr>
              <w:pStyle w:val="NormalWeb"/>
              <w:rPr>
                <w:b/>
                <w:bCs/>
              </w:rPr>
            </w:pPr>
            <w:r w:rsidRPr="006D4FD6">
              <w:rPr>
                <w:rFonts w:ascii="Aptos" w:hAnsi="Aptos"/>
                <w:b/>
                <w:bCs/>
                <w:color w:val="FFFFFF"/>
              </w:rPr>
              <w:t>West Yorkshire</w:t>
            </w:r>
          </w:p>
        </w:tc>
      </w:tr>
      <w:tr w:rsidR="006D4FD6" w14:paraId="223A7222" w14:textId="77777777" w:rsidTr="00642CA0">
        <w:tc>
          <w:tcPr>
            <w:tcW w:w="39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28D1A" w14:textId="77777777" w:rsidR="006D4FD6" w:rsidRDefault="006D4FD6" w:rsidP="00642CA0">
            <w:pPr>
              <w:pStyle w:val="NormalWeb"/>
              <w:jc w:val="center"/>
            </w:pPr>
            <w:r>
              <w:rPr>
                <w:rFonts w:ascii="Aptos" w:hAnsi="Aptos"/>
                <w:color w:val="000000"/>
              </w:rPr>
              <w:t>Trust</w:t>
            </w:r>
          </w:p>
        </w:tc>
        <w:tc>
          <w:tcPr>
            <w:tcW w:w="1671" w:type="dxa"/>
            <w:vMerge w:val="restart"/>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7AC05FE" w14:textId="77777777" w:rsidR="006D4FD6" w:rsidRDefault="006D4FD6" w:rsidP="00642CA0">
            <w:pPr>
              <w:pStyle w:val="NormalWeb"/>
              <w:jc w:val="center"/>
            </w:pPr>
            <w:r>
              <w:rPr>
                <w:rFonts w:ascii="Aptos" w:hAnsi="Aptos"/>
                <w:color w:val="000000"/>
              </w:rPr>
              <w:t>Commissioned Beds</w:t>
            </w:r>
          </w:p>
        </w:tc>
        <w:tc>
          <w:tcPr>
            <w:tcW w:w="1912"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4D6EE286" w14:textId="77777777" w:rsidR="006D4FD6" w:rsidRDefault="006D4FD6" w:rsidP="00642CA0">
            <w:pPr>
              <w:pStyle w:val="NormalWeb"/>
              <w:jc w:val="center"/>
            </w:pPr>
            <w:r>
              <w:rPr>
                <w:rFonts w:ascii="Aptos" w:hAnsi="Aptos"/>
                <w:color w:val="000000"/>
              </w:rPr>
              <w:t>Level</w:t>
            </w:r>
          </w:p>
        </w:tc>
        <w:tc>
          <w:tcPr>
            <w:tcW w:w="1463" w:type="dxa"/>
            <w:vMerge w:val="restart"/>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1F5152F" w14:textId="77777777" w:rsidR="006D4FD6" w:rsidRDefault="006D4FD6" w:rsidP="00642CA0">
            <w:pPr>
              <w:pStyle w:val="NormalWeb"/>
              <w:jc w:val="center"/>
            </w:pPr>
            <w:r>
              <w:rPr>
                <w:rFonts w:ascii="Aptos" w:hAnsi="Aptos"/>
                <w:color w:val="000000"/>
              </w:rPr>
              <w:t>Total Level 3 equivalent</w:t>
            </w:r>
          </w:p>
        </w:tc>
      </w:tr>
      <w:tr w:rsidR="006D4FD6" w14:paraId="2D841352" w14:textId="77777777" w:rsidTr="00642CA0">
        <w:tc>
          <w:tcPr>
            <w:tcW w:w="0" w:type="auto"/>
            <w:vMerge/>
            <w:tcBorders>
              <w:top w:val="nil"/>
              <w:left w:val="single" w:sz="8" w:space="0" w:color="auto"/>
              <w:bottom w:val="single" w:sz="8" w:space="0" w:color="auto"/>
              <w:right w:val="single" w:sz="8" w:space="0" w:color="auto"/>
            </w:tcBorders>
            <w:vAlign w:val="center"/>
            <w:hideMark/>
          </w:tcPr>
          <w:p w14:paraId="373955D3" w14:textId="77777777" w:rsidR="006D4FD6" w:rsidRDefault="006D4FD6" w:rsidP="00642CA0">
            <w:pPr>
              <w:rPr>
                <w:rFonts w:ascii="Calibri" w:eastAsiaTheme="minorHAnsi" w:hAnsi="Calibri" w:cs="Calibri"/>
              </w:rPr>
            </w:pPr>
          </w:p>
        </w:tc>
        <w:tc>
          <w:tcPr>
            <w:tcW w:w="0" w:type="auto"/>
            <w:vMerge/>
            <w:tcBorders>
              <w:top w:val="nil"/>
              <w:left w:val="nil"/>
              <w:bottom w:val="single" w:sz="8" w:space="0" w:color="auto"/>
              <w:right w:val="single" w:sz="8" w:space="0" w:color="auto"/>
            </w:tcBorders>
            <w:vAlign w:val="center"/>
            <w:hideMark/>
          </w:tcPr>
          <w:p w14:paraId="2D9E4077" w14:textId="77777777" w:rsidR="006D4FD6" w:rsidRDefault="006D4FD6" w:rsidP="00642CA0">
            <w:pPr>
              <w:rPr>
                <w:rFonts w:ascii="Calibri" w:eastAsiaTheme="minorHAnsi" w:hAnsi="Calibri" w:cs="Calibri"/>
              </w:rPr>
            </w:pP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2B1BF3A4" w14:textId="77777777" w:rsidR="006D4FD6" w:rsidRDefault="006D4FD6" w:rsidP="00642CA0">
            <w:pPr>
              <w:pStyle w:val="NormalWeb"/>
              <w:jc w:val="center"/>
            </w:pPr>
            <w:r>
              <w:rPr>
                <w:rFonts w:ascii="Aptos" w:hAnsi="Aptos"/>
                <w:color w:val="000000"/>
              </w:rPr>
              <w:t>2</w:t>
            </w:r>
          </w:p>
        </w:tc>
        <w:tc>
          <w:tcPr>
            <w:tcW w:w="895"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6A5EAF52" w14:textId="77777777" w:rsidR="006D4FD6" w:rsidRDefault="006D4FD6" w:rsidP="00642CA0">
            <w:pPr>
              <w:pStyle w:val="NormalWeb"/>
              <w:jc w:val="center"/>
            </w:pPr>
            <w:r>
              <w:rPr>
                <w:rFonts w:ascii="Aptos" w:hAnsi="Aptos"/>
                <w:color w:val="000000"/>
              </w:rPr>
              <w:t>3</w:t>
            </w:r>
          </w:p>
        </w:tc>
        <w:tc>
          <w:tcPr>
            <w:tcW w:w="0" w:type="auto"/>
            <w:vMerge/>
            <w:tcBorders>
              <w:top w:val="nil"/>
              <w:left w:val="nil"/>
              <w:bottom w:val="single" w:sz="8" w:space="0" w:color="auto"/>
              <w:right w:val="single" w:sz="8" w:space="0" w:color="auto"/>
            </w:tcBorders>
            <w:vAlign w:val="center"/>
            <w:hideMark/>
          </w:tcPr>
          <w:p w14:paraId="4D78C756" w14:textId="77777777" w:rsidR="006D4FD6" w:rsidRDefault="006D4FD6" w:rsidP="00642CA0">
            <w:pPr>
              <w:rPr>
                <w:rFonts w:ascii="Calibri" w:eastAsiaTheme="minorHAnsi" w:hAnsi="Calibri" w:cs="Calibri"/>
              </w:rPr>
            </w:pPr>
          </w:p>
        </w:tc>
      </w:tr>
      <w:tr w:rsidR="006D4FD6" w14:paraId="715D5955"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60BE7" w14:textId="77777777" w:rsidR="006D4FD6" w:rsidRDefault="006D4FD6" w:rsidP="00642CA0">
            <w:pPr>
              <w:pStyle w:val="NormalWeb"/>
            </w:pPr>
            <w:r>
              <w:rPr>
                <w:rFonts w:ascii="Aptos" w:hAnsi="Aptos"/>
                <w:color w:val="000000"/>
                <w:sz w:val="20"/>
                <w:szCs w:val="20"/>
              </w:rPr>
              <w:t>Airedale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A6371F7" w14:textId="77777777" w:rsidR="006D4FD6" w:rsidRDefault="006D4FD6" w:rsidP="00642CA0">
            <w:pPr>
              <w:pStyle w:val="NormalWeb"/>
              <w:jc w:val="center"/>
            </w:pPr>
            <w:r>
              <w:rPr>
                <w:rFonts w:ascii="Aptos" w:hAnsi="Aptos"/>
                <w:sz w:val="20"/>
                <w:szCs w:val="20"/>
              </w:rPr>
              <w:t>7</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7417CA6C" w14:textId="77777777" w:rsidR="006D4FD6" w:rsidRDefault="006D4FD6" w:rsidP="00642CA0">
            <w:pPr>
              <w:pStyle w:val="NormalWeb"/>
              <w:jc w:val="center"/>
            </w:pPr>
            <w:r>
              <w:rPr>
                <w:rFonts w:ascii="Aptos" w:hAnsi="Aptos"/>
                <w:color w:val="000000"/>
                <w:sz w:val="20"/>
                <w:szCs w:val="20"/>
              </w:rPr>
              <w:t> </w:t>
            </w:r>
            <w:r>
              <w:rPr>
                <w:rFonts w:ascii="Aptos" w:hAnsi="Aptos"/>
                <w:sz w:val="20"/>
                <w:szCs w:val="20"/>
              </w:rPr>
              <w:t>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FBD8C31" w14:textId="77777777" w:rsidR="006D4FD6" w:rsidRDefault="006D4FD6" w:rsidP="00642CA0">
            <w:pPr>
              <w:pStyle w:val="NormalWeb"/>
              <w:jc w:val="center"/>
            </w:pPr>
            <w:r>
              <w:rPr>
                <w:rFonts w:ascii="Aptos" w:hAnsi="Aptos"/>
                <w:sz w:val="20"/>
                <w:szCs w:val="20"/>
              </w:rPr>
              <w:t>3</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35B8107D" w14:textId="77777777" w:rsidR="006D4FD6" w:rsidRDefault="006D4FD6" w:rsidP="00642CA0">
            <w:pPr>
              <w:pStyle w:val="NormalWeb"/>
              <w:jc w:val="center"/>
            </w:pPr>
            <w:r>
              <w:rPr>
                <w:rFonts w:ascii="Aptos" w:hAnsi="Aptos"/>
                <w:sz w:val="20"/>
                <w:szCs w:val="20"/>
              </w:rPr>
              <w:t>5</w:t>
            </w:r>
          </w:p>
        </w:tc>
      </w:tr>
      <w:tr w:rsidR="006D4FD6" w14:paraId="4F364A2D"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0E7D" w14:textId="77777777" w:rsidR="006D4FD6" w:rsidRDefault="006D4FD6" w:rsidP="00642CA0">
            <w:pPr>
              <w:pStyle w:val="NormalWeb"/>
            </w:pPr>
            <w:r>
              <w:rPr>
                <w:rFonts w:ascii="Aptos" w:hAnsi="Aptos"/>
                <w:color w:val="000000"/>
                <w:sz w:val="20"/>
                <w:szCs w:val="20"/>
              </w:rPr>
              <w:t>Bradford Teaching Hospitals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8ED8796" w14:textId="77777777" w:rsidR="006D4FD6" w:rsidRDefault="006D4FD6" w:rsidP="00642CA0">
            <w:pPr>
              <w:pStyle w:val="NormalWeb"/>
              <w:jc w:val="center"/>
            </w:pPr>
            <w:r>
              <w:rPr>
                <w:rFonts w:ascii="Aptos" w:hAnsi="Aptos"/>
                <w:sz w:val="20"/>
                <w:szCs w:val="20"/>
              </w:rPr>
              <w:t>16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6B77457B" w14:textId="77777777" w:rsidR="006D4FD6" w:rsidRDefault="006D4FD6" w:rsidP="00642CA0">
            <w:pPr>
              <w:pStyle w:val="NormalWeb"/>
              <w:jc w:val="center"/>
            </w:pPr>
            <w:r>
              <w:rPr>
                <w:rFonts w:ascii="Aptos" w:hAnsi="Aptos"/>
                <w:color w:val="000000"/>
                <w:sz w:val="20"/>
                <w:szCs w:val="20"/>
              </w:rPr>
              <w:t> </w:t>
            </w:r>
            <w:r>
              <w:rPr>
                <w:rFonts w:ascii="Aptos" w:hAnsi="Aptos"/>
                <w:sz w:val="20"/>
                <w:szCs w:val="20"/>
              </w:rPr>
              <w:t>8</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59B15E2B" w14:textId="77777777" w:rsidR="006D4FD6" w:rsidRDefault="006D4FD6" w:rsidP="00642CA0">
            <w:pPr>
              <w:pStyle w:val="NormalWeb"/>
              <w:jc w:val="center"/>
            </w:pPr>
            <w:r>
              <w:rPr>
                <w:rFonts w:ascii="Aptos" w:hAnsi="Aptos"/>
                <w:sz w:val="20"/>
                <w:szCs w:val="20"/>
              </w:rPr>
              <w:t>8</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476736A" w14:textId="77777777" w:rsidR="006D4FD6" w:rsidRDefault="006D4FD6" w:rsidP="00642CA0">
            <w:pPr>
              <w:pStyle w:val="NormalWeb"/>
              <w:jc w:val="center"/>
            </w:pPr>
            <w:r>
              <w:rPr>
                <w:rFonts w:ascii="Aptos" w:hAnsi="Aptos"/>
                <w:sz w:val="20"/>
                <w:szCs w:val="20"/>
              </w:rPr>
              <w:t>12</w:t>
            </w:r>
          </w:p>
        </w:tc>
      </w:tr>
      <w:tr w:rsidR="006D4FD6" w14:paraId="0BDB167F"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881AD" w14:textId="77777777" w:rsidR="006D4FD6" w:rsidRDefault="006D4FD6" w:rsidP="00642CA0">
            <w:pPr>
              <w:pStyle w:val="NormalWeb"/>
            </w:pPr>
            <w:r>
              <w:rPr>
                <w:rFonts w:ascii="Aptos" w:hAnsi="Aptos"/>
                <w:color w:val="000000"/>
                <w:sz w:val="20"/>
                <w:szCs w:val="20"/>
              </w:rPr>
              <w:t>Calderdale &amp; Huddersfield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723C82D" w14:textId="77777777" w:rsidR="006D4FD6" w:rsidRDefault="006D4FD6" w:rsidP="00642CA0">
            <w:pPr>
              <w:pStyle w:val="NormalWeb"/>
              <w:jc w:val="center"/>
            </w:pPr>
            <w:r>
              <w:rPr>
                <w:rFonts w:ascii="Aptos" w:hAnsi="Aptos"/>
                <w:sz w:val="20"/>
                <w:szCs w:val="20"/>
              </w:rPr>
              <w:t>13</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12C349C8" w14:textId="77777777" w:rsidR="006D4FD6" w:rsidRDefault="006D4FD6" w:rsidP="00642CA0">
            <w:pPr>
              <w:pStyle w:val="NormalWeb"/>
              <w:jc w:val="center"/>
            </w:pPr>
            <w:r>
              <w:rPr>
                <w:rFonts w:ascii="Aptos" w:hAnsi="Aptos"/>
                <w:color w:val="000000"/>
                <w:sz w:val="20"/>
                <w:szCs w:val="20"/>
              </w:rPr>
              <w:t> </w:t>
            </w:r>
            <w:r>
              <w:rPr>
                <w:rFonts w:ascii="Aptos" w:hAnsi="Aptos"/>
                <w:sz w:val="20"/>
                <w:szCs w:val="20"/>
              </w:rPr>
              <w:t>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8F2328E" w14:textId="77777777" w:rsidR="006D4FD6" w:rsidRDefault="006D4FD6" w:rsidP="00642CA0">
            <w:pPr>
              <w:pStyle w:val="NormalWeb"/>
              <w:jc w:val="center"/>
            </w:pPr>
            <w:r>
              <w:rPr>
                <w:rFonts w:ascii="Aptos" w:hAnsi="Aptos"/>
                <w:sz w:val="20"/>
                <w:szCs w:val="20"/>
              </w:rPr>
              <w:t>9</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2E8A5491" w14:textId="77777777" w:rsidR="006D4FD6" w:rsidRDefault="006D4FD6" w:rsidP="00642CA0">
            <w:pPr>
              <w:pStyle w:val="NormalWeb"/>
              <w:jc w:val="center"/>
            </w:pPr>
            <w:r>
              <w:rPr>
                <w:rFonts w:ascii="Aptos" w:hAnsi="Aptos"/>
                <w:sz w:val="20"/>
                <w:szCs w:val="20"/>
              </w:rPr>
              <w:t>11</w:t>
            </w:r>
          </w:p>
        </w:tc>
      </w:tr>
      <w:tr w:rsidR="006D4FD6" w14:paraId="50200972"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AB51D" w14:textId="77777777" w:rsidR="006D4FD6" w:rsidRDefault="006D4FD6" w:rsidP="00642CA0">
            <w:pPr>
              <w:pStyle w:val="NormalWeb"/>
            </w:pPr>
            <w:r>
              <w:rPr>
                <w:rFonts w:ascii="Aptos" w:hAnsi="Aptos"/>
                <w:color w:val="000000"/>
                <w:sz w:val="20"/>
                <w:szCs w:val="20"/>
              </w:rPr>
              <w:t>Mid Yorkshire teaching Hospital NHS F</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23031578" w14:textId="77777777" w:rsidR="006D4FD6" w:rsidRDefault="006D4FD6" w:rsidP="00642CA0">
            <w:pPr>
              <w:pStyle w:val="NormalWeb"/>
              <w:jc w:val="center"/>
            </w:pPr>
            <w:r>
              <w:rPr>
                <w:rFonts w:ascii="Aptos" w:hAnsi="Aptos"/>
                <w:sz w:val="20"/>
                <w:szCs w:val="20"/>
              </w:rPr>
              <w:t>20</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485B60DA" w14:textId="77777777" w:rsidR="006D4FD6" w:rsidRDefault="006D4FD6" w:rsidP="00642CA0">
            <w:pPr>
              <w:pStyle w:val="NormalWeb"/>
              <w:jc w:val="center"/>
            </w:pPr>
            <w:r>
              <w:rPr>
                <w:rFonts w:ascii="Aptos" w:hAnsi="Aptos"/>
                <w:sz w:val="20"/>
                <w:szCs w:val="20"/>
              </w:rPr>
              <w:t>6</w:t>
            </w:r>
            <w:r>
              <w:rPr>
                <w:rFonts w:ascii="Aptos" w:hAnsi="Aptos"/>
                <w:color w:val="000000"/>
                <w:sz w:val="20"/>
                <w:szCs w:val="2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749F773D" w14:textId="77777777" w:rsidR="006D4FD6" w:rsidRDefault="006D4FD6" w:rsidP="00642CA0">
            <w:pPr>
              <w:pStyle w:val="NormalWeb"/>
              <w:jc w:val="center"/>
            </w:pPr>
            <w:r>
              <w:rPr>
                <w:rFonts w:ascii="Aptos" w:hAnsi="Aptos"/>
                <w:sz w:val="20"/>
                <w:szCs w:val="20"/>
              </w:rPr>
              <w:t>14</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24AE5C84" w14:textId="77777777" w:rsidR="006D4FD6" w:rsidRDefault="006D4FD6" w:rsidP="00642CA0">
            <w:pPr>
              <w:pStyle w:val="NormalWeb"/>
              <w:jc w:val="center"/>
            </w:pPr>
            <w:r>
              <w:rPr>
                <w:rFonts w:ascii="Aptos" w:hAnsi="Aptos"/>
                <w:sz w:val="20"/>
                <w:szCs w:val="20"/>
              </w:rPr>
              <w:t>17</w:t>
            </w:r>
          </w:p>
        </w:tc>
      </w:tr>
      <w:tr w:rsidR="006D4FD6" w14:paraId="19391851"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73DEA" w14:textId="77777777" w:rsidR="006D4FD6" w:rsidRDefault="006D4FD6" w:rsidP="00642CA0">
            <w:pPr>
              <w:pStyle w:val="NormalWeb"/>
            </w:pPr>
            <w:r>
              <w:rPr>
                <w:rFonts w:ascii="Aptos" w:hAnsi="Aptos"/>
                <w:color w:val="000000"/>
                <w:sz w:val="20"/>
                <w:szCs w:val="20"/>
              </w:rPr>
              <w:t>Leeds Teaching Hospitals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2EAF429A" w14:textId="77777777" w:rsidR="006D4FD6" w:rsidRDefault="006D4FD6" w:rsidP="00642CA0">
            <w:pPr>
              <w:pStyle w:val="NormalWeb"/>
              <w:jc w:val="center"/>
            </w:pPr>
            <w:r>
              <w:rPr>
                <w:rFonts w:ascii="Aptos" w:hAnsi="Aptos"/>
                <w:sz w:val="20"/>
                <w:szCs w:val="20"/>
              </w:rPr>
              <w:t>64</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149AECE2" w14:textId="77777777" w:rsidR="006D4FD6" w:rsidRDefault="006D4FD6" w:rsidP="00642CA0">
            <w:pPr>
              <w:pStyle w:val="NormalWeb"/>
              <w:jc w:val="center"/>
            </w:pPr>
            <w:r>
              <w:rPr>
                <w:rFonts w:ascii="Aptos" w:hAnsi="Aptos"/>
                <w:color w:val="000000"/>
                <w:sz w:val="20"/>
                <w:szCs w:val="20"/>
              </w:rPr>
              <w:t> </w:t>
            </w:r>
            <w:r>
              <w:rPr>
                <w:rFonts w:ascii="Aptos" w:hAnsi="Aptos"/>
                <w:sz w:val="20"/>
                <w:szCs w:val="20"/>
              </w:rPr>
              <w:t>34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67E52E6" w14:textId="77777777" w:rsidR="006D4FD6" w:rsidRDefault="006D4FD6" w:rsidP="00642CA0">
            <w:pPr>
              <w:pStyle w:val="NormalWeb"/>
              <w:jc w:val="center"/>
            </w:pPr>
            <w:r>
              <w:rPr>
                <w:rFonts w:ascii="Aptos" w:hAnsi="Aptos"/>
                <w:sz w:val="20"/>
                <w:szCs w:val="20"/>
              </w:rPr>
              <w:t>30</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73F0F42" w14:textId="77777777" w:rsidR="006D4FD6" w:rsidRDefault="006D4FD6" w:rsidP="00642CA0">
            <w:pPr>
              <w:pStyle w:val="NormalWeb"/>
              <w:jc w:val="center"/>
            </w:pPr>
            <w:r>
              <w:rPr>
                <w:rFonts w:ascii="Aptos" w:hAnsi="Aptos"/>
                <w:sz w:val="20"/>
                <w:szCs w:val="20"/>
              </w:rPr>
              <w:t>47</w:t>
            </w:r>
          </w:p>
        </w:tc>
      </w:tr>
      <w:tr w:rsidR="006D4FD6" w14:paraId="4E98A272" w14:textId="77777777" w:rsidTr="00642CA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69DE3" w14:textId="77777777" w:rsidR="006D4FD6" w:rsidRDefault="006D4FD6" w:rsidP="00642CA0">
            <w:pPr>
              <w:pStyle w:val="NormalWeb"/>
            </w:pPr>
            <w:r>
              <w:rPr>
                <w:rFonts w:ascii="Aptos" w:hAnsi="Aptos"/>
                <w:color w:val="000000"/>
                <w:sz w:val="20"/>
                <w:szCs w:val="20"/>
              </w:rPr>
              <w:t>Harrogate &amp; District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01C3EBBB" w14:textId="77777777" w:rsidR="006D4FD6" w:rsidRDefault="006D4FD6" w:rsidP="00642CA0">
            <w:pPr>
              <w:pStyle w:val="NormalWeb"/>
              <w:jc w:val="center"/>
            </w:pPr>
            <w:r>
              <w:rPr>
                <w:rFonts w:ascii="Aptos" w:hAnsi="Aptos"/>
                <w:sz w:val="20"/>
                <w:szCs w:val="20"/>
              </w:rPr>
              <w:t>7</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54370560" w14:textId="77777777" w:rsidR="006D4FD6" w:rsidRDefault="006D4FD6" w:rsidP="00642CA0">
            <w:pPr>
              <w:pStyle w:val="NormalWeb"/>
              <w:jc w:val="center"/>
            </w:pPr>
            <w:r>
              <w:rPr>
                <w:rFonts w:ascii="Aptos" w:hAnsi="Aptos"/>
                <w:sz w:val="20"/>
                <w:szCs w:val="20"/>
              </w:rPr>
              <w:t>4</w:t>
            </w:r>
            <w:r>
              <w:rPr>
                <w:rFonts w:ascii="Aptos" w:hAnsi="Aptos"/>
                <w:color w:val="000000"/>
                <w:sz w:val="20"/>
                <w:szCs w:val="2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5DD626AA" w14:textId="77777777" w:rsidR="006D4FD6" w:rsidRDefault="006D4FD6" w:rsidP="00642CA0">
            <w:pPr>
              <w:pStyle w:val="NormalWeb"/>
              <w:jc w:val="center"/>
            </w:pPr>
            <w:r>
              <w:rPr>
                <w:rFonts w:ascii="Aptos" w:hAnsi="Aptos"/>
                <w:sz w:val="20"/>
                <w:szCs w:val="20"/>
              </w:rPr>
              <w:t>3</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7B964316" w14:textId="77777777" w:rsidR="006D4FD6" w:rsidRDefault="006D4FD6" w:rsidP="00642CA0">
            <w:pPr>
              <w:pStyle w:val="NormalWeb"/>
              <w:jc w:val="center"/>
            </w:pPr>
            <w:r>
              <w:rPr>
                <w:rFonts w:ascii="Aptos" w:hAnsi="Aptos"/>
                <w:sz w:val="20"/>
                <w:szCs w:val="20"/>
              </w:rPr>
              <w:t>5</w:t>
            </w:r>
          </w:p>
        </w:tc>
      </w:tr>
      <w:tr w:rsidR="006D4FD6" w14:paraId="77E4597D" w14:textId="77777777" w:rsidTr="003509C8">
        <w:tc>
          <w:tcPr>
            <w:tcW w:w="3970"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09CC834" w14:textId="77777777" w:rsidR="006D4FD6" w:rsidRDefault="006D4FD6" w:rsidP="00642CA0">
            <w:pPr>
              <w:pStyle w:val="NormalWeb"/>
            </w:pPr>
            <w:r>
              <w:rPr>
                <w:rFonts w:ascii="Aptos" w:hAnsi="Aptos"/>
                <w:b/>
                <w:bCs/>
                <w:color w:val="000000"/>
                <w:sz w:val="20"/>
                <w:szCs w:val="20"/>
              </w:rPr>
              <w:t>Totals</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9B95619" w14:textId="77777777" w:rsidR="006D4FD6" w:rsidRDefault="006D4FD6" w:rsidP="00642CA0">
            <w:pPr>
              <w:pStyle w:val="NormalWeb"/>
              <w:jc w:val="center"/>
            </w:pPr>
            <w:r>
              <w:rPr>
                <w:rFonts w:ascii="Aptos" w:hAnsi="Aptos"/>
                <w:b/>
                <w:bCs/>
                <w:sz w:val="20"/>
                <w:szCs w:val="20"/>
              </w:rPr>
              <w:t>127</w:t>
            </w:r>
          </w:p>
        </w:tc>
        <w:tc>
          <w:tcPr>
            <w:tcW w:w="10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628C371" w14:textId="77777777" w:rsidR="006D4FD6" w:rsidRDefault="006D4FD6" w:rsidP="00642CA0">
            <w:pPr>
              <w:pStyle w:val="NormalWeb"/>
              <w:jc w:val="center"/>
            </w:pPr>
            <w:r>
              <w:rPr>
                <w:rFonts w:ascii="Aptos" w:hAnsi="Aptos"/>
                <w:b/>
                <w:bCs/>
                <w:sz w:val="20"/>
                <w:szCs w:val="20"/>
              </w:rPr>
              <w:t>60</w:t>
            </w:r>
            <w:r>
              <w:rPr>
                <w:rFonts w:ascii="Aptos" w:hAnsi="Aptos"/>
                <w:b/>
                <w:bCs/>
                <w:color w:val="000000"/>
                <w:sz w:val="20"/>
                <w:szCs w:val="20"/>
              </w:rPr>
              <w:t> </w:t>
            </w:r>
          </w:p>
        </w:tc>
        <w:tc>
          <w:tcPr>
            <w:tcW w:w="89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4DE8F08" w14:textId="77777777" w:rsidR="006D4FD6" w:rsidRDefault="006D4FD6" w:rsidP="00642CA0">
            <w:pPr>
              <w:pStyle w:val="NormalWeb"/>
              <w:jc w:val="center"/>
            </w:pPr>
            <w:r>
              <w:rPr>
                <w:rFonts w:ascii="Aptos" w:hAnsi="Aptos"/>
                <w:b/>
                <w:bCs/>
                <w:color w:val="000000"/>
                <w:sz w:val="20"/>
                <w:szCs w:val="20"/>
              </w:rPr>
              <w:t> </w:t>
            </w:r>
            <w:r>
              <w:rPr>
                <w:rFonts w:ascii="Aptos" w:hAnsi="Aptos"/>
                <w:b/>
                <w:bCs/>
                <w:sz w:val="20"/>
                <w:szCs w:val="20"/>
              </w:rPr>
              <w:t>67</w:t>
            </w:r>
          </w:p>
        </w:tc>
        <w:tc>
          <w:tcPr>
            <w:tcW w:w="1463"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921FC9A" w14:textId="77777777" w:rsidR="006D4FD6" w:rsidRDefault="006D4FD6" w:rsidP="00642CA0">
            <w:pPr>
              <w:pStyle w:val="NormalWeb"/>
              <w:jc w:val="center"/>
            </w:pPr>
            <w:r>
              <w:rPr>
                <w:rFonts w:ascii="Aptos" w:hAnsi="Aptos"/>
                <w:b/>
                <w:bCs/>
                <w:sz w:val="20"/>
                <w:szCs w:val="20"/>
              </w:rPr>
              <w:t>97</w:t>
            </w:r>
          </w:p>
        </w:tc>
      </w:tr>
    </w:tbl>
    <w:p w14:paraId="28FE0F2C" w14:textId="77777777" w:rsidR="006D4FD6" w:rsidRDefault="006D4FD6" w:rsidP="009739E3">
      <w:pPr>
        <w:rPr>
          <w:sz w:val="28"/>
          <w:szCs w:val="28"/>
        </w:rPr>
      </w:pPr>
    </w:p>
    <w:tbl>
      <w:tblPr>
        <w:tblW w:w="0" w:type="auto"/>
        <w:tblCellMar>
          <w:left w:w="0" w:type="dxa"/>
          <w:right w:w="0" w:type="dxa"/>
        </w:tblCellMar>
        <w:tblLook w:val="04A0" w:firstRow="1" w:lastRow="0" w:firstColumn="1" w:lastColumn="0" w:noHBand="0" w:noVBand="1"/>
      </w:tblPr>
      <w:tblGrid>
        <w:gridCol w:w="3970"/>
        <w:gridCol w:w="1671"/>
        <w:gridCol w:w="1017"/>
        <w:gridCol w:w="895"/>
        <w:gridCol w:w="1463"/>
      </w:tblGrid>
      <w:tr w:rsidR="006D4FD6" w14:paraId="6E7712DC" w14:textId="77777777" w:rsidTr="006D4FD6">
        <w:tc>
          <w:tcPr>
            <w:tcW w:w="9016" w:type="dxa"/>
            <w:gridSpan w:val="5"/>
            <w:tcBorders>
              <w:top w:val="nil"/>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7955DFC9" w14:textId="77777777" w:rsidR="006D4FD6" w:rsidRDefault="006D4FD6">
            <w:pPr>
              <w:pStyle w:val="NormalWeb"/>
            </w:pPr>
            <w:r>
              <w:rPr>
                <w:rFonts w:ascii="Aptos" w:hAnsi="Aptos"/>
                <w:b/>
                <w:bCs/>
                <w:color w:val="FFFFFF"/>
              </w:rPr>
              <w:t>South Yorkshire &amp; Bassetlaw Yorkshire</w:t>
            </w:r>
          </w:p>
        </w:tc>
      </w:tr>
      <w:tr w:rsidR="006D4FD6" w14:paraId="7CB02D54" w14:textId="77777777" w:rsidTr="006D4FD6">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710A" w14:textId="77777777" w:rsidR="006D4FD6" w:rsidRDefault="006D4FD6">
            <w:pPr>
              <w:pStyle w:val="NormalWeb"/>
            </w:pPr>
            <w:r>
              <w:rPr>
                <w:rFonts w:ascii="Aptos" w:hAnsi="Aptos"/>
                <w:color w:val="00000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CCC74DB" w14:textId="77777777" w:rsidR="006D4FD6" w:rsidRDefault="006D4FD6">
            <w:pPr>
              <w:pStyle w:val="NormalWeb"/>
            </w:pPr>
            <w:r>
              <w:rPr>
                <w:rFonts w:ascii="Aptos" w:hAnsi="Aptos"/>
                <w:color w:val="000000"/>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2AABE8CD" w14:textId="77777777" w:rsidR="006D4FD6" w:rsidRDefault="006D4FD6">
            <w:pPr>
              <w:pStyle w:val="NormalWeb"/>
              <w:jc w:val="center"/>
            </w:pPr>
            <w:r>
              <w:rPr>
                <w:rFonts w:ascii="Aptos" w:hAnsi="Aptos"/>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200EC1E3" w14:textId="77777777" w:rsidR="006D4FD6" w:rsidRDefault="006D4FD6">
            <w:pPr>
              <w:pStyle w:val="NormalWeb"/>
              <w:jc w:val="center"/>
            </w:pPr>
            <w:r>
              <w:rPr>
                <w:rFonts w:ascii="Aptos" w:hAnsi="Aptos"/>
                <w:color w:val="00000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7130EAE4" w14:textId="77777777" w:rsidR="006D4FD6" w:rsidRDefault="006D4FD6">
            <w:pPr>
              <w:pStyle w:val="NormalWeb"/>
            </w:pPr>
            <w:r>
              <w:rPr>
                <w:rFonts w:ascii="Aptos" w:hAnsi="Aptos"/>
                <w:color w:val="000000"/>
              </w:rPr>
              <w:t> </w:t>
            </w:r>
          </w:p>
        </w:tc>
      </w:tr>
      <w:tr w:rsidR="006D4FD6" w14:paraId="7C7DB89B" w14:textId="77777777" w:rsidTr="001B27E6">
        <w:tc>
          <w:tcPr>
            <w:tcW w:w="39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7DD24" w14:textId="77777777" w:rsidR="006D4FD6" w:rsidRDefault="006D4FD6">
            <w:pPr>
              <w:pStyle w:val="NormalWeb"/>
              <w:jc w:val="center"/>
            </w:pPr>
            <w:r>
              <w:rPr>
                <w:rFonts w:ascii="Aptos" w:hAnsi="Aptos"/>
                <w:color w:val="000000"/>
              </w:rPr>
              <w:t>Trust</w:t>
            </w:r>
          </w:p>
        </w:tc>
        <w:tc>
          <w:tcPr>
            <w:tcW w:w="1671" w:type="dxa"/>
            <w:vMerge w:val="restart"/>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77B57AA" w14:textId="77777777" w:rsidR="006D4FD6" w:rsidRDefault="006D4FD6">
            <w:pPr>
              <w:pStyle w:val="NormalWeb"/>
              <w:jc w:val="center"/>
            </w:pPr>
            <w:r>
              <w:rPr>
                <w:rFonts w:ascii="Aptos" w:hAnsi="Aptos"/>
                <w:color w:val="000000"/>
              </w:rPr>
              <w:t>Commissioned Beds</w:t>
            </w:r>
          </w:p>
        </w:tc>
        <w:tc>
          <w:tcPr>
            <w:tcW w:w="1912" w:type="dxa"/>
            <w:gridSpan w:val="2"/>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1DEE754" w14:textId="77777777" w:rsidR="006D4FD6" w:rsidRDefault="006D4FD6">
            <w:pPr>
              <w:pStyle w:val="NormalWeb"/>
              <w:jc w:val="center"/>
            </w:pPr>
            <w:r>
              <w:rPr>
                <w:rFonts w:ascii="Aptos" w:hAnsi="Aptos"/>
                <w:color w:val="000000"/>
              </w:rPr>
              <w:t>Level</w:t>
            </w:r>
          </w:p>
        </w:tc>
        <w:tc>
          <w:tcPr>
            <w:tcW w:w="1463" w:type="dxa"/>
            <w:vMerge w:val="restart"/>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F5D61CD" w14:textId="4B771185" w:rsidR="006D4FD6" w:rsidRDefault="006D4FD6">
            <w:pPr>
              <w:pStyle w:val="NormalWeb"/>
              <w:jc w:val="center"/>
            </w:pPr>
            <w:r>
              <w:rPr>
                <w:rFonts w:ascii="Aptos" w:hAnsi="Aptos"/>
                <w:color w:val="000000"/>
              </w:rPr>
              <w:t>Total Level 3</w:t>
            </w:r>
            <w:r w:rsidR="001B27E6">
              <w:rPr>
                <w:rFonts w:ascii="Aptos" w:hAnsi="Aptos"/>
                <w:color w:val="000000"/>
              </w:rPr>
              <w:t xml:space="preserve"> equivalent</w:t>
            </w:r>
          </w:p>
        </w:tc>
      </w:tr>
      <w:tr w:rsidR="006D4FD6" w14:paraId="5D7AFFD4" w14:textId="77777777" w:rsidTr="001B27E6">
        <w:tc>
          <w:tcPr>
            <w:tcW w:w="0" w:type="auto"/>
            <w:vMerge/>
            <w:tcBorders>
              <w:top w:val="nil"/>
              <w:left w:val="single" w:sz="8" w:space="0" w:color="auto"/>
              <w:bottom w:val="single" w:sz="8" w:space="0" w:color="auto"/>
              <w:right w:val="single" w:sz="8" w:space="0" w:color="auto"/>
            </w:tcBorders>
            <w:vAlign w:val="center"/>
            <w:hideMark/>
          </w:tcPr>
          <w:p w14:paraId="7E2008EB" w14:textId="77777777" w:rsidR="006D4FD6" w:rsidRDefault="006D4FD6">
            <w:pPr>
              <w:rPr>
                <w:rFonts w:ascii="Calibri" w:eastAsiaTheme="minorHAnsi" w:hAnsi="Calibri" w:cs="Calibri"/>
              </w:rPr>
            </w:pPr>
          </w:p>
        </w:tc>
        <w:tc>
          <w:tcPr>
            <w:tcW w:w="0" w:type="auto"/>
            <w:vMerge/>
            <w:tcBorders>
              <w:top w:val="nil"/>
              <w:left w:val="nil"/>
              <w:bottom w:val="single" w:sz="8" w:space="0" w:color="auto"/>
              <w:right w:val="single" w:sz="8" w:space="0" w:color="auto"/>
            </w:tcBorders>
            <w:vAlign w:val="center"/>
            <w:hideMark/>
          </w:tcPr>
          <w:p w14:paraId="2E030DE4" w14:textId="77777777" w:rsidR="006D4FD6" w:rsidRDefault="006D4FD6">
            <w:pPr>
              <w:rPr>
                <w:rFonts w:ascii="Calibri" w:eastAsiaTheme="minorHAnsi" w:hAnsi="Calibri" w:cs="Calibri"/>
              </w:rPr>
            </w:pPr>
          </w:p>
        </w:tc>
        <w:tc>
          <w:tcPr>
            <w:tcW w:w="10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638BAAC" w14:textId="77777777" w:rsidR="006D4FD6" w:rsidRDefault="006D4FD6">
            <w:pPr>
              <w:pStyle w:val="NormalWeb"/>
              <w:jc w:val="center"/>
            </w:pPr>
            <w:r>
              <w:rPr>
                <w:rFonts w:ascii="Aptos" w:hAnsi="Aptos"/>
                <w:color w:val="000000"/>
              </w:rPr>
              <w:t>2</w:t>
            </w:r>
          </w:p>
        </w:tc>
        <w:tc>
          <w:tcPr>
            <w:tcW w:w="89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95E1FF8" w14:textId="77777777" w:rsidR="006D4FD6" w:rsidRDefault="006D4FD6">
            <w:pPr>
              <w:pStyle w:val="NormalWeb"/>
              <w:jc w:val="center"/>
            </w:pPr>
            <w:r>
              <w:rPr>
                <w:rFonts w:ascii="Aptos" w:hAnsi="Aptos"/>
                <w:color w:val="000000"/>
              </w:rPr>
              <w:t>3</w:t>
            </w:r>
          </w:p>
        </w:tc>
        <w:tc>
          <w:tcPr>
            <w:tcW w:w="0" w:type="auto"/>
            <w:vMerge/>
            <w:tcBorders>
              <w:top w:val="nil"/>
              <w:left w:val="nil"/>
              <w:bottom w:val="single" w:sz="8" w:space="0" w:color="auto"/>
              <w:right w:val="single" w:sz="8" w:space="0" w:color="auto"/>
            </w:tcBorders>
            <w:vAlign w:val="center"/>
            <w:hideMark/>
          </w:tcPr>
          <w:p w14:paraId="7AFD2B81" w14:textId="77777777" w:rsidR="006D4FD6" w:rsidRDefault="006D4FD6">
            <w:pPr>
              <w:rPr>
                <w:rFonts w:ascii="Calibri" w:eastAsiaTheme="minorHAnsi" w:hAnsi="Calibri" w:cs="Calibri"/>
              </w:rPr>
            </w:pPr>
          </w:p>
        </w:tc>
      </w:tr>
      <w:tr w:rsidR="006D4FD6" w14:paraId="07B18629" w14:textId="77777777" w:rsidTr="006D4FD6">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54D8B" w14:textId="77777777" w:rsidR="006D4FD6" w:rsidRDefault="006D4FD6">
            <w:pPr>
              <w:pStyle w:val="NormalWeb"/>
            </w:pPr>
            <w:r>
              <w:rPr>
                <w:rFonts w:ascii="Aptos" w:hAnsi="Aptos"/>
                <w:color w:val="000000"/>
                <w:sz w:val="20"/>
                <w:szCs w:val="20"/>
              </w:rPr>
              <w:t>Barnsley Hospital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06CAC0F" w14:textId="67E7B751" w:rsidR="006D4FD6" w:rsidRDefault="006D4FD6" w:rsidP="006D4FD6">
            <w:pPr>
              <w:pStyle w:val="NormalWeb"/>
              <w:jc w:val="center"/>
            </w:pPr>
            <w:r>
              <w:rPr>
                <w:rFonts w:ascii="Aptos" w:hAnsi="Aptos"/>
                <w:sz w:val="20"/>
                <w:szCs w:val="20"/>
              </w:rPr>
              <w:t>13</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341177C4" w14:textId="77777777" w:rsidR="006D4FD6" w:rsidRDefault="006D4FD6">
            <w:pPr>
              <w:pStyle w:val="NormalWeb"/>
              <w:jc w:val="center"/>
            </w:pPr>
            <w:r>
              <w:rPr>
                <w:rFonts w:ascii="Aptos" w:hAnsi="Aptos"/>
                <w:color w:val="000000"/>
                <w:sz w:val="20"/>
                <w:szCs w:val="20"/>
              </w:rPr>
              <w:t> </w:t>
            </w:r>
            <w:r>
              <w:rPr>
                <w:rFonts w:ascii="Aptos" w:hAnsi="Aptos"/>
                <w:sz w:val="20"/>
                <w:szCs w:val="20"/>
              </w:rPr>
              <w:t>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D2C7C83" w14:textId="77777777" w:rsidR="006D4FD6" w:rsidRDefault="006D4FD6">
            <w:pPr>
              <w:pStyle w:val="NormalWeb"/>
              <w:jc w:val="center"/>
            </w:pPr>
            <w:r>
              <w:rPr>
                <w:rFonts w:ascii="Aptos" w:hAnsi="Aptos"/>
                <w:sz w:val="20"/>
                <w:szCs w:val="20"/>
              </w:rPr>
              <w:t>8</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4EB16D0E" w14:textId="362DCF3C" w:rsidR="006D4FD6" w:rsidRDefault="006D4FD6" w:rsidP="006D4FD6">
            <w:pPr>
              <w:pStyle w:val="NormalWeb"/>
              <w:jc w:val="center"/>
            </w:pPr>
            <w:r>
              <w:rPr>
                <w:rFonts w:ascii="Aptos" w:hAnsi="Aptos"/>
                <w:sz w:val="20"/>
                <w:szCs w:val="20"/>
              </w:rPr>
              <w:t>10.5</w:t>
            </w:r>
          </w:p>
        </w:tc>
      </w:tr>
      <w:tr w:rsidR="006D4FD6" w14:paraId="36BD767F" w14:textId="77777777" w:rsidTr="006D4FD6">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47EBA" w14:textId="77777777" w:rsidR="006D4FD6" w:rsidRDefault="006D4FD6">
            <w:pPr>
              <w:pStyle w:val="NormalWeb"/>
            </w:pPr>
            <w:r>
              <w:rPr>
                <w:rFonts w:ascii="Aptos" w:hAnsi="Aptos"/>
                <w:color w:val="000000"/>
                <w:sz w:val="20"/>
                <w:szCs w:val="20"/>
              </w:rPr>
              <w:t>Doncaster &amp; Bassetlaw Hospitals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02E8960" w14:textId="3F708F6B" w:rsidR="006D4FD6" w:rsidRDefault="006D4FD6" w:rsidP="006D4FD6">
            <w:pPr>
              <w:pStyle w:val="NormalWeb"/>
              <w:jc w:val="center"/>
            </w:pPr>
            <w:r>
              <w:rPr>
                <w:rFonts w:ascii="Aptos" w:hAnsi="Aptos"/>
                <w:sz w:val="20"/>
                <w:szCs w:val="20"/>
              </w:rPr>
              <w:t>26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2458FF9E" w14:textId="77777777" w:rsidR="006D4FD6" w:rsidRDefault="006D4FD6">
            <w:pPr>
              <w:pStyle w:val="NormalWeb"/>
              <w:jc w:val="center"/>
            </w:pPr>
            <w:r>
              <w:rPr>
                <w:rFonts w:ascii="Aptos" w:hAnsi="Aptos"/>
                <w:sz w:val="20"/>
                <w:szCs w:val="20"/>
              </w:rPr>
              <w:t>12</w:t>
            </w:r>
            <w:r>
              <w:rPr>
                <w:rFonts w:ascii="Aptos" w:hAnsi="Aptos"/>
                <w:color w:val="000000"/>
                <w:sz w:val="20"/>
                <w:szCs w:val="2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5531EC7" w14:textId="77777777" w:rsidR="006D4FD6" w:rsidRDefault="006D4FD6">
            <w:pPr>
              <w:pStyle w:val="NormalWeb"/>
              <w:jc w:val="center"/>
            </w:pPr>
            <w:r>
              <w:rPr>
                <w:rFonts w:ascii="Aptos" w:hAnsi="Aptos"/>
                <w:sz w:val="20"/>
                <w:szCs w:val="20"/>
              </w:rPr>
              <w:t>14</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60D06B9E" w14:textId="1673FE0D" w:rsidR="006D4FD6" w:rsidRDefault="006D4FD6" w:rsidP="006D4FD6">
            <w:pPr>
              <w:pStyle w:val="NormalWeb"/>
              <w:jc w:val="center"/>
            </w:pPr>
            <w:r>
              <w:rPr>
                <w:rFonts w:ascii="Aptos" w:hAnsi="Aptos"/>
                <w:sz w:val="20"/>
                <w:szCs w:val="20"/>
              </w:rPr>
              <w:t>20</w:t>
            </w:r>
          </w:p>
        </w:tc>
      </w:tr>
      <w:tr w:rsidR="006D4FD6" w14:paraId="75AB75B8" w14:textId="77777777" w:rsidTr="006D4FD6">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7C7C5" w14:textId="77777777" w:rsidR="006D4FD6" w:rsidRDefault="006D4FD6">
            <w:pPr>
              <w:pStyle w:val="NormalWeb"/>
            </w:pPr>
            <w:r>
              <w:rPr>
                <w:rFonts w:ascii="Aptos" w:hAnsi="Aptos"/>
                <w:color w:val="000000"/>
                <w:sz w:val="20"/>
                <w:szCs w:val="20"/>
              </w:rPr>
              <w:t>Sheffield Teaching Hospitals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7379E0C" w14:textId="5C3AD269" w:rsidR="006D4FD6" w:rsidRDefault="006D4FD6" w:rsidP="006D4FD6">
            <w:pPr>
              <w:pStyle w:val="NormalWeb"/>
              <w:jc w:val="center"/>
            </w:pPr>
            <w:r>
              <w:rPr>
                <w:rFonts w:ascii="Aptos" w:hAnsi="Aptos"/>
                <w:sz w:val="20"/>
                <w:szCs w:val="20"/>
              </w:rPr>
              <w:t>76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4BB6DECB" w14:textId="77777777" w:rsidR="006D4FD6" w:rsidRDefault="006D4FD6">
            <w:pPr>
              <w:pStyle w:val="NormalWeb"/>
              <w:jc w:val="center"/>
            </w:pPr>
            <w:r>
              <w:rPr>
                <w:rFonts w:ascii="Aptos" w:hAnsi="Aptos"/>
                <w:sz w:val="20"/>
                <w:szCs w:val="20"/>
              </w:rPr>
              <w:t>39</w:t>
            </w:r>
            <w:r>
              <w:rPr>
                <w:rFonts w:ascii="Aptos" w:hAnsi="Aptos"/>
                <w:color w:val="000000"/>
                <w:sz w:val="20"/>
                <w:szCs w:val="2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18DE092" w14:textId="77777777" w:rsidR="006D4FD6" w:rsidRDefault="006D4FD6">
            <w:pPr>
              <w:pStyle w:val="NormalWeb"/>
              <w:jc w:val="center"/>
            </w:pPr>
            <w:r>
              <w:rPr>
                <w:rFonts w:ascii="Aptos" w:hAnsi="Aptos"/>
                <w:sz w:val="20"/>
                <w:szCs w:val="20"/>
              </w:rPr>
              <w:t>37</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7AED1E2C" w14:textId="7AE5F69C" w:rsidR="006D4FD6" w:rsidRDefault="006D4FD6" w:rsidP="006D4FD6">
            <w:pPr>
              <w:pStyle w:val="NormalWeb"/>
              <w:jc w:val="center"/>
            </w:pPr>
            <w:r>
              <w:rPr>
                <w:rFonts w:ascii="Aptos" w:hAnsi="Aptos"/>
                <w:sz w:val="20"/>
                <w:szCs w:val="20"/>
              </w:rPr>
              <w:t>56.5</w:t>
            </w:r>
          </w:p>
        </w:tc>
      </w:tr>
      <w:tr w:rsidR="006D4FD6" w14:paraId="124DE6AA" w14:textId="77777777" w:rsidTr="006D4FD6">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FF7DF" w14:textId="77777777" w:rsidR="006D4FD6" w:rsidRDefault="006D4FD6">
            <w:pPr>
              <w:pStyle w:val="NormalWeb"/>
            </w:pPr>
            <w:r>
              <w:rPr>
                <w:rFonts w:ascii="Aptos" w:hAnsi="Aptos"/>
                <w:color w:val="000000"/>
                <w:sz w:val="20"/>
                <w:szCs w:val="20"/>
              </w:rPr>
              <w:t>Rotherham NHs FT</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6512BC" w14:textId="57A6FE7A" w:rsidR="006D4FD6" w:rsidRDefault="006D4FD6" w:rsidP="006D4FD6">
            <w:pPr>
              <w:pStyle w:val="NormalWeb"/>
              <w:jc w:val="center"/>
            </w:pPr>
            <w:r>
              <w:rPr>
                <w:rFonts w:ascii="Aptos" w:hAnsi="Aptos"/>
                <w:sz w:val="20"/>
                <w:szCs w:val="20"/>
              </w:rPr>
              <w:t>13</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468C7F47" w14:textId="77777777" w:rsidR="006D4FD6" w:rsidRDefault="006D4FD6">
            <w:pPr>
              <w:pStyle w:val="NormalWeb"/>
              <w:jc w:val="center"/>
            </w:pPr>
            <w:r>
              <w:rPr>
                <w:rFonts w:ascii="Aptos" w:hAnsi="Aptos"/>
                <w:color w:val="000000"/>
                <w:sz w:val="20"/>
                <w:szCs w:val="20"/>
              </w:rPr>
              <w:t> </w:t>
            </w:r>
            <w:r>
              <w:rPr>
                <w:rFonts w:ascii="Aptos" w:hAnsi="Aptos"/>
                <w:sz w:val="20"/>
                <w:szCs w:val="20"/>
              </w:rPr>
              <w:t>8</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6FB9D7D" w14:textId="77777777" w:rsidR="006D4FD6" w:rsidRDefault="006D4FD6">
            <w:pPr>
              <w:pStyle w:val="NormalWeb"/>
              <w:jc w:val="center"/>
            </w:pPr>
            <w:r>
              <w:rPr>
                <w:rFonts w:ascii="Aptos" w:hAnsi="Aptos"/>
                <w:sz w:val="20"/>
                <w:szCs w:val="20"/>
              </w:rPr>
              <w:t>5</w:t>
            </w:r>
            <w:r>
              <w:rPr>
                <w:rFonts w:ascii="Aptos" w:hAnsi="Aptos"/>
                <w:color w:val="000000"/>
                <w:sz w:val="20"/>
                <w:szCs w:val="20"/>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4DD57DF4" w14:textId="6332C039" w:rsidR="006D4FD6" w:rsidRDefault="006D4FD6" w:rsidP="006D4FD6">
            <w:pPr>
              <w:pStyle w:val="NormalWeb"/>
              <w:jc w:val="center"/>
            </w:pPr>
            <w:r>
              <w:rPr>
                <w:rFonts w:ascii="Aptos" w:hAnsi="Aptos"/>
                <w:sz w:val="20"/>
                <w:szCs w:val="20"/>
              </w:rPr>
              <w:t>9</w:t>
            </w:r>
          </w:p>
        </w:tc>
      </w:tr>
      <w:tr w:rsidR="006D4FD6" w14:paraId="28E7C6CD" w14:textId="77777777" w:rsidTr="003509C8">
        <w:tc>
          <w:tcPr>
            <w:tcW w:w="3970"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196C63F" w14:textId="77777777" w:rsidR="006D4FD6" w:rsidRDefault="006D4FD6">
            <w:pPr>
              <w:pStyle w:val="NormalWeb"/>
            </w:pPr>
            <w:r>
              <w:rPr>
                <w:rFonts w:ascii="Aptos" w:hAnsi="Aptos"/>
                <w:b/>
                <w:bCs/>
                <w:color w:val="000000"/>
                <w:sz w:val="20"/>
                <w:szCs w:val="20"/>
              </w:rPr>
              <w:t>Totals</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0404B76" w14:textId="3C7D8395" w:rsidR="006D4FD6" w:rsidRDefault="006D4FD6" w:rsidP="006D4FD6">
            <w:pPr>
              <w:pStyle w:val="NormalWeb"/>
              <w:jc w:val="center"/>
            </w:pPr>
            <w:r>
              <w:rPr>
                <w:rFonts w:ascii="Aptos" w:hAnsi="Aptos"/>
                <w:b/>
                <w:bCs/>
                <w:sz w:val="20"/>
                <w:szCs w:val="20"/>
              </w:rPr>
              <w:t>128</w:t>
            </w:r>
          </w:p>
        </w:tc>
        <w:tc>
          <w:tcPr>
            <w:tcW w:w="10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D9BA8E9" w14:textId="77777777" w:rsidR="006D4FD6" w:rsidRDefault="006D4FD6">
            <w:pPr>
              <w:pStyle w:val="NormalWeb"/>
              <w:jc w:val="center"/>
            </w:pPr>
            <w:r>
              <w:rPr>
                <w:rFonts w:ascii="Aptos" w:hAnsi="Aptos"/>
                <w:b/>
                <w:bCs/>
                <w:sz w:val="20"/>
                <w:szCs w:val="20"/>
              </w:rPr>
              <w:t>64</w:t>
            </w:r>
            <w:r>
              <w:rPr>
                <w:rFonts w:ascii="Aptos" w:hAnsi="Aptos"/>
                <w:b/>
                <w:bCs/>
                <w:color w:val="000000"/>
                <w:sz w:val="20"/>
                <w:szCs w:val="20"/>
              </w:rPr>
              <w:t> </w:t>
            </w:r>
          </w:p>
        </w:tc>
        <w:tc>
          <w:tcPr>
            <w:tcW w:w="89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7ABD194" w14:textId="77777777" w:rsidR="006D4FD6" w:rsidRDefault="006D4FD6">
            <w:pPr>
              <w:pStyle w:val="NormalWeb"/>
              <w:jc w:val="center"/>
            </w:pPr>
            <w:r>
              <w:rPr>
                <w:rFonts w:ascii="Aptos" w:hAnsi="Aptos"/>
                <w:b/>
                <w:bCs/>
                <w:sz w:val="20"/>
                <w:szCs w:val="20"/>
              </w:rPr>
              <w:t>64</w:t>
            </w:r>
            <w:r>
              <w:rPr>
                <w:rFonts w:ascii="Aptos" w:hAnsi="Aptos"/>
                <w:b/>
                <w:bCs/>
                <w:color w:val="000000"/>
                <w:sz w:val="20"/>
                <w:szCs w:val="20"/>
              </w:rPr>
              <w:t> </w:t>
            </w:r>
          </w:p>
        </w:tc>
        <w:tc>
          <w:tcPr>
            <w:tcW w:w="1463"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593F9EC" w14:textId="2D0526CC" w:rsidR="006D4FD6" w:rsidRDefault="006D4FD6" w:rsidP="006D4FD6">
            <w:pPr>
              <w:pStyle w:val="NormalWeb"/>
              <w:jc w:val="center"/>
            </w:pPr>
            <w:r>
              <w:rPr>
                <w:rFonts w:ascii="Aptos" w:hAnsi="Aptos"/>
                <w:b/>
                <w:bCs/>
                <w:sz w:val="20"/>
                <w:szCs w:val="20"/>
              </w:rPr>
              <w:t>96</w:t>
            </w:r>
          </w:p>
        </w:tc>
      </w:tr>
    </w:tbl>
    <w:p w14:paraId="6BA22264" w14:textId="77777777" w:rsidR="006D4FD6" w:rsidRDefault="006D4FD6" w:rsidP="009739E3">
      <w:pPr>
        <w:rPr>
          <w:sz w:val="28"/>
          <w:szCs w:val="28"/>
        </w:rPr>
      </w:pPr>
    </w:p>
    <w:tbl>
      <w:tblPr>
        <w:tblW w:w="0" w:type="auto"/>
        <w:tblCellMar>
          <w:left w:w="0" w:type="dxa"/>
          <w:right w:w="0" w:type="dxa"/>
        </w:tblCellMar>
        <w:tblLook w:val="04A0" w:firstRow="1" w:lastRow="0" w:firstColumn="1" w:lastColumn="0" w:noHBand="0" w:noVBand="1"/>
      </w:tblPr>
      <w:tblGrid>
        <w:gridCol w:w="3970"/>
        <w:gridCol w:w="1671"/>
        <w:gridCol w:w="1017"/>
        <w:gridCol w:w="895"/>
        <w:gridCol w:w="1463"/>
      </w:tblGrid>
      <w:tr w:rsidR="006D4FD6" w14:paraId="2B93D9C3" w14:textId="77777777" w:rsidTr="00642CA0">
        <w:tc>
          <w:tcPr>
            <w:tcW w:w="9016" w:type="dxa"/>
            <w:gridSpan w:val="5"/>
            <w:tcBorders>
              <w:top w:val="nil"/>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460E3F01" w14:textId="77777777" w:rsidR="006D4FD6" w:rsidRDefault="006D4FD6" w:rsidP="00642CA0">
            <w:pPr>
              <w:pStyle w:val="NormalWeb"/>
            </w:pPr>
            <w:r>
              <w:rPr>
                <w:rFonts w:ascii="Aptos" w:hAnsi="Aptos"/>
                <w:b/>
                <w:bCs/>
                <w:color w:val="FFFFFF"/>
              </w:rPr>
              <w:t>North Yorkshire &amp; Humber</w:t>
            </w:r>
          </w:p>
        </w:tc>
      </w:tr>
      <w:tr w:rsidR="006D4FD6" w14:paraId="4F284DAD" w14:textId="77777777" w:rsidTr="001B27E6">
        <w:tc>
          <w:tcPr>
            <w:tcW w:w="39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5E3DB" w14:textId="77777777" w:rsidR="006D4FD6" w:rsidRDefault="006D4FD6" w:rsidP="00642CA0">
            <w:pPr>
              <w:pStyle w:val="NormalWeb"/>
              <w:jc w:val="center"/>
            </w:pPr>
            <w:r>
              <w:rPr>
                <w:rFonts w:ascii="Aptos" w:hAnsi="Aptos"/>
                <w:color w:val="000000"/>
              </w:rPr>
              <w:t>Trust</w:t>
            </w:r>
          </w:p>
        </w:tc>
        <w:tc>
          <w:tcPr>
            <w:tcW w:w="1671" w:type="dxa"/>
            <w:vMerge w:val="restart"/>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CD3367A" w14:textId="77777777" w:rsidR="006D4FD6" w:rsidRDefault="006D4FD6" w:rsidP="00642CA0">
            <w:pPr>
              <w:pStyle w:val="NormalWeb"/>
              <w:jc w:val="center"/>
            </w:pPr>
            <w:r>
              <w:rPr>
                <w:rFonts w:ascii="Aptos" w:hAnsi="Aptos"/>
                <w:color w:val="000000"/>
              </w:rPr>
              <w:t>Commissioned Beds</w:t>
            </w:r>
          </w:p>
        </w:tc>
        <w:tc>
          <w:tcPr>
            <w:tcW w:w="1912" w:type="dxa"/>
            <w:gridSpan w:val="2"/>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DDDD211" w14:textId="77777777" w:rsidR="006D4FD6" w:rsidRDefault="006D4FD6" w:rsidP="00642CA0">
            <w:pPr>
              <w:pStyle w:val="NormalWeb"/>
              <w:jc w:val="center"/>
            </w:pPr>
            <w:r>
              <w:rPr>
                <w:rFonts w:ascii="Aptos" w:hAnsi="Aptos"/>
                <w:color w:val="000000"/>
              </w:rPr>
              <w:t>Level</w:t>
            </w:r>
          </w:p>
        </w:tc>
        <w:tc>
          <w:tcPr>
            <w:tcW w:w="1463" w:type="dxa"/>
            <w:vMerge w:val="restart"/>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1D0B7CE" w14:textId="116C6A5C" w:rsidR="006D4FD6" w:rsidRDefault="006D4FD6" w:rsidP="00642CA0">
            <w:pPr>
              <w:pStyle w:val="NormalWeb"/>
              <w:jc w:val="center"/>
            </w:pPr>
            <w:r>
              <w:rPr>
                <w:rFonts w:ascii="Aptos" w:hAnsi="Aptos"/>
                <w:color w:val="000000"/>
              </w:rPr>
              <w:t>Total Level 3</w:t>
            </w:r>
            <w:r w:rsidR="001B27E6">
              <w:rPr>
                <w:rFonts w:ascii="Aptos" w:hAnsi="Aptos"/>
                <w:color w:val="000000"/>
              </w:rPr>
              <w:t xml:space="preserve"> equivalent</w:t>
            </w:r>
          </w:p>
        </w:tc>
      </w:tr>
      <w:tr w:rsidR="006D4FD6" w14:paraId="1AC3D98E" w14:textId="77777777" w:rsidTr="001B27E6">
        <w:tc>
          <w:tcPr>
            <w:tcW w:w="0" w:type="auto"/>
            <w:vMerge/>
            <w:tcBorders>
              <w:top w:val="nil"/>
              <w:left w:val="single" w:sz="8" w:space="0" w:color="auto"/>
              <w:bottom w:val="single" w:sz="8" w:space="0" w:color="auto"/>
              <w:right w:val="single" w:sz="8" w:space="0" w:color="auto"/>
            </w:tcBorders>
            <w:vAlign w:val="center"/>
            <w:hideMark/>
          </w:tcPr>
          <w:p w14:paraId="5838B8A4" w14:textId="77777777" w:rsidR="006D4FD6" w:rsidRDefault="006D4FD6" w:rsidP="00642CA0">
            <w:pPr>
              <w:rPr>
                <w:rFonts w:ascii="Calibri" w:eastAsiaTheme="minorHAnsi" w:hAnsi="Calibri" w:cs="Calibri"/>
              </w:rPr>
            </w:pPr>
          </w:p>
        </w:tc>
        <w:tc>
          <w:tcPr>
            <w:tcW w:w="0" w:type="auto"/>
            <w:vMerge/>
            <w:tcBorders>
              <w:top w:val="nil"/>
              <w:left w:val="nil"/>
              <w:bottom w:val="single" w:sz="8" w:space="0" w:color="auto"/>
              <w:right w:val="single" w:sz="8" w:space="0" w:color="auto"/>
            </w:tcBorders>
            <w:vAlign w:val="center"/>
            <w:hideMark/>
          </w:tcPr>
          <w:p w14:paraId="131060C5" w14:textId="77777777" w:rsidR="006D4FD6" w:rsidRDefault="006D4FD6" w:rsidP="00642CA0">
            <w:pPr>
              <w:rPr>
                <w:rFonts w:ascii="Calibri" w:eastAsiaTheme="minorHAnsi" w:hAnsi="Calibri" w:cs="Calibri"/>
              </w:rPr>
            </w:pPr>
          </w:p>
        </w:tc>
        <w:tc>
          <w:tcPr>
            <w:tcW w:w="10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765D1C56" w14:textId="77777777" w:rsidR="006D4FD6" w:rsidRDefault="006D4FD6" w:rsidP="00642CA0">
            <w:pPr>
              <w:pStyle w:val="NormalWeb"/>
              <w:jc w:val="center"/>
            </w:pPr>
            <w:r>
              <w:rPr>
                <w:rFonts w:ascii="Aptos" w:hAnsi="Aptos"/>
                <w:color w:val="000000"/>
              </w:rPr>
              <w:t>2</w:t>
            </w:r>
          </w:p>
        </w:tc>
        <w:tc>
          <w:tcPr>
            <w:tcW w:w="89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D1506FA" w14:textId="77777777" w:rsidR="006D4FD6" w:rsidRDefault="006D4FD6" w:rsidP="00642CA0">
            <w:pPr>
              <w:pStyle w:val="NormalWeb"/>
              <w:jc w:val="center"/>
            </w:pPr>
            <w:r>
              <w:rPr>
                <w:rFonts w:ascii="Aptos" w:hAnsi="Aptos"/>
                <w:color w:val="000000"/>
              </w:rPr>
              <w:t>3</w:t>
            </w:r>
          </w:p>
        </w:tc>
        <w:tc>
          <w:tcPr>
            <w:tcW w:w="0" w:type="auto"/>
            <w:vMerge/>
            <w:tcBorders>
              <w:top w:val="nil"/>
              <w:left w:val="nil"/>
              <w:bottom w:val="single" w:sz="8" w:space="0" w:color="auto"/>
              <w:right w:val="single" w:sz="8" w:space="0" w:color="auto"/>
            </w:tcBorders>
            <w:vAlign w:val="center"/>
            <w:hideMark/>
          </w:tcPr>
          <w:p w14:paraId="5AB988D9" w14:textId="77777777" w:rsidR="006D4FD6" w:rsidRDefault="006D4FD6" w:rsidP="00642CA0">
            <w:pPr>
              <w:rPr>
                <w:rFonts w:ascii="Calibri" w:eastAsiaTheme="minorHAnsi" w:hAnsi="Calibri" w:cs="Calibri"/>
              </w:rPr>
            </w:pPr>
          </w:p>
        </w:tc>
      </w:tr>
      <w:tr w:rsidR="00215F40" w14:paraId="180A1A75"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4EE0B" w14:textId="77777777" w:rsidR="00215F40" w:rsidRPr="00215F40" w:rsidRDefault="00215F40">
            <w:pPr>
              <w:pStyle w:val="NormalWeb"/>
              <w:rPr>
                <w:rFonts w:ascii="Aptos" w:hAnsi="Aptos"/>
                <w:color w:val="000000"/>
                <w:sz w:val="20"/>
                <w:szCs w:val="20"/>
              </w:rPr>
            </w:pPr>
            <w:r>
              <w:rPr>
                <w:rFonts w:ascii="Aptos" w:hAnsi="Aptos"/>
                <w:color w:val="000000"/>
                <w:sz w:val="20"/>
                <w:szCs w:val="20"/>
              </w:rPr>
              <w:t> Hull Royal Infirmary</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2BD0FB0" w14:textId="77777777" w:rsidR="00215F40" w:rsidRPr="00215F40" w:rsidRDefault="00215F40" w:rsidP="00DE35A8">
            <w:pPr>
              <w:pStyle w:val="NormalWeb"/>
              <w:jc w:val="center"/>
              <w:rPr>
                <w:rFonts w:ascii="Aptos" w:hAnsi="Aptos"/>
                <w:color w:val="000000"/>
                <w:sz w:val="20"/>
                <w:szCs w:val="20"/>
              </w:rPr>
            </w:pPr>
            <w:r>
              <w:rPr>
                <w:rFonts w:ascii="Aptos" w:hAnsi="Aptos"/>
                <w:color w:val="000000"/>
                <w:sz w:val="20"/>
                <w:szCs w:val="20"/>
              </w:rPr>
              <w:t>22</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7A0F97CB"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 10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33F442D"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12 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6D274EE2" w14:textId="2E470809" w:rsidR="00215F40" w:rsidRPr="00215F40" w:rsidRDefault="003F28C8" w:rsidP="00DE35A8">
            <w:pPr>
              <w:pStyle w:val="NormalWeb"/>
              <w:jc w:val="center"/>
              <w:rPr>
                <w:rFonts w:ascii="Aptos" w:hAnsi="Aptos"/>
                <w:color w:val="000000"/>
                <w:sz w:val="20"/>
                <w:szCs w:val="20"/>
              </w:rPr>
            </w:pPr>
            <w:r>
              <w:rPr>
                <w:rFonts w:ascii="Aptos" w:hAnsi="Aptos"/>
                <w:color w:val="000000"/>
                <w:sz w:val="20"/>
                <w:szCs w:val="20"/>
              </w:rPr>
              <w:t>17</w:t>
            </w:r>
          </w:p>
        </w:tc>
      </w:tr>
      <w:tr w:rsidR="00215F40" w14:paraId="55AD1476"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5B2C6" w14:textId="77777777" w:rsidR="00215F40" w:rsidRPr="00215F40" w:rsidRDefault="00215F40">
            <w:pPr>
              <w:pStyle w:val="NormalWeb"/>
              <w:rPr>
                <w:rFonts w:ascii="Aptos" w:hAnsi="Aptos"/>
                <w:color w:val="000000"/>
                <w:sz w:val="20"/>
                <w:szCs w:val="20"/>
              </w:rPr>
            </w:pPr>
            <w:r>
              <w:rPr>
                <w:rFonts w:ascii="Aptos" w:hAnsi="Aptos"/>
                <w:color w:val="000000"/>
                <w:sz w:val="20"/>
                <w:szCs w:val="20"/>
              </w:rPr>
              <w:t> Castle Hill</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2DC83F94" w14:textId="77777777" w:rsidR="00215F40" w:rsidRPr="00215F40" w:rsidRDefault="00215F40" w:rsidP="00DE35A8">
            <w:pPr>
              <w:pStyle w:val="NormalWeb"/>
              <w:jc w:val="center"/>
              <w:rPr>
                <w:rFonts w:ascii="Aptos" w:hAnsi="Aptos"/>
                <w:color w:val="000000"/>
                <w:sz w:val="20"/>
                <w:szCs w:val="20"/>
              </w:rPr>
            </w:pPr>
            <w:r>
              <w:rPr>
                <w:rFonts w:ascii="Aptos" w:hAnsi="Aptos"/>
                <w:color w:val="000000"/>
                <w:sz w:val="20"/>
                <w:szCs w:val="20"/>
              </w:rPr>
              <w:t>22</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763BEEF3"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12 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744AC67A"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10 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73AD2D3B" w14:textId="760C01A1" w:rsidR="00215F40" w:rsidRPr="00215F40" w:rsidRDefault="003F28C8" w:rsidP="00DE35A8">
            <w:pPr>
              <w:pStyle w:val="NormalWeb"/>
              <w:jc w:val="center"/>
              <w:rPr>
                <w:rFonts w:ascii="Aptos" w:hAnsi="Aptos"/>
                <w:color w:val="000000"/>
                <w:sz w:val="20"/>
                <w:szCs w:val="20"/>
              </w:rPr>
            </w:pPr>
            <w:r>
              <w:rPr>
                <w:rFonts w:ascii="Aptos" w:hAnsi="Aptos"/>
                <w:color w:val="000000"/>
                <w:sz w:val="20"/>
                <w:szCs w:val="20"/>
              </w:rPr>
              <w:t>16</w:t>
            </w:r>
          </w:p>
        </w:tc>
      </w:tr>
      <w:tr w:rsidR="00215F40" w14:paraId="60BB4B4A"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6DF96" w14:textId="77777777" w:rsidR="00215F40" w:rsidRPr="00215F40" w:rsidRDefault="00215F40">
            <w:pPr>
              <w:pStyle w:val="NormalWeb"/>
              <w:rPr>
                <w:rFonts w:ascii="Aptos" w:hAnsi="Aptos"/>
                <w:color w:val="000000"/>
                <w:sz w:val="20"/>
                <w:szCs w:val="20"/>
              </w:rPr>
            </w:pPr>
            <w:r>
              <w:rPr>
                <w:rFonts w:ascii="Aptos" w:hAnsi="Aptos"/>
                <w:color w:val="000000"/>
                <w:sz w:val="20"/>
                <w:szCs w:val="20"/>
              </w:rPr>
              <w:t> York</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78EC6CD5" w14:textId="77777777" w:rsidR="00215F40" w:rsidRPr="00215F40" w:rsidRDefault="00215F40" w:rsidP="00DE35A8">
            <w:pPr>
              <w:pStyle w:val="NormalWeb"/>
              <w:jc w:val="center"/>
              <w:rPr>
                <w:rFonts w:ascii="Aptos" w:hAnsi="Aptos"/>
                <w:color w:val="000000"/>
                <w:sz w:val="20"/>
                <w:szCs w:val="20"/>
              </w:rPr>
            </w:pPr>
            <w:r>
              <w:rPr>
                <w:rFonts w:ascii="Aptos" w:hAnsi="Aptos"/>
                <w:color w:val="000000"/>
                <w:sz w:val="20"/>
                <w:szCs w:val="20"/>
              </w:rPr>
              <w:t>16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21182496"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 8</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640560D"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 8</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5D31F61B" w14:textId="5CE9450A" w:rsidR="00215F40" w:rsidRPr="00215F40" w:rsidRDefault="003F28C8" w:rsidP="00DE35A8">
            <w:pPr>
              <w:pStyle w:val="NormalWeb"/>
              <w:jc w:val="center"/>
              <w:rPr>
                <w:rFonts w:ascii="Aptos" w:hAnsi="Aptos"/>
                <w:color w:val="000000"/>
                <w:sz w:val="20"/>
                <w:szCs w:val="20"/>
              </w:rPr>
            </w:pPr>
            <w:r>
              <w:rPr>
                <w:rFonts w:ascii="Aptos" w:hAnsi="Aptos"/>
                <w:color w:val="000000"/>
                <w:sz w:val="20"/>
                <w:szCs w:val="20"/>
              </w:rPr>
              <w:t>12</w:t>
            </w:r>
          </w:p>
        </w:tc>
      </w:tr>
      <w:tr w:rsidR="00215F40" w14:paraId="3C961336"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43BCA" w14:textId="77777777" w:rsidR="00215F40" w:rsidRPr="00215F40" w:rsidRDefault="00215F40">
            <w:pPr>
              <w:pStyle w:val="NormalWeb"/>
              <w:rPr>
                <w:rFonts w:ascii="Aptos" w:hAnsi="Aptos"/>
                <w:color w:val="000000"/>
                <w:sz w:val="20"/>
                <w:szCs w:val="20"/>
              </w:rPr>
            </w:pPr>
            <w:r>
              <w:rPr>
                <w:rFonts w:ascii="Aptos" w:hAnsi="Aptos"/>
                <w:color w:val="000000"/>
                <w:sz w:val="20"/>
                <w:szCs w:val="20"/>
              </w:rPr>
              <w:t> Scarborough</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0B6690F" w14:textId="77777777" w:rsidR="00215F40" w:rsidRPr="00215F40" w:rsidRDefault="00215F40" w:rsidP="00DE35A8">
            <w:pPr>
              <w:pStyle w:val="NormalWeb"/>
              <w:jc w:val="center"/>
              <w:rPr>
                <w:rFonts w:ascii="Aptos" w:hAnsi="Aptos"/>
                <w:color w:val="000000"/>
                <w:sz w:val="20"/>
                <w:szCs w:val="20"/>
              </w:rPr>
            </w:pPr>
            <w:r>
              <w:rPr>
                <w:rFonts w:ascii="Aptos" w:hAnsi="Aptos"/>
                <w:color w:val="000000"/>
                <w:sz w:val="20"/>
                <w:szCs w:val="20"/>
              </w:rPr>
              <w:t>8</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60E93286"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4 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D4422DB" w14:textId="77777777" w:rsidR="00215F40" w:rsidRPr="00215F40" w:rsidRDefault="00215F40">
            <w:pPr>
              <w:pStyle w:val="NormalWeb"/>
              <w:jc w:val="center"/>
              <w:rPr>
                <w:rFonts w:ascii="Aptos" w:hAnsi="Aptos"/>
                <w:color w:val="000000"/>
                <w:sz w:val="20"/>
                <w:szCs w:val="20"/>
              </w:rPr>
            </w:pPr>
            <w:r>
              <w:rPr>
                <w:rFonts w:ascii="Aptos" w:hAnsi="Aptos"/>
                <w:color w:val="000000"/>
                <w:sz w:val="20"/>
                <w:szCs w:val="20"/>
              </w:rPr>
              <w:t>4 </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69FA2624" w14:textId="45A77ED1" w:rsidR="00215F40" w:rsidRPr="00215F40" w:rsidRDefault="003F28C8" w:rsidP="00DE35A8">
            <w:pPr>
              <w:pStyle w:val="NormalWeb"/>
              <w:jc w:val="center"/>
              <w:rPr>
                <w:rFonts w:ascii="Aptos" w:hAnsi="Aptos"/>
                <w:color w:val="000000"/>
                <w:sz w:val="20"/>
                <w:szCs w:val="20"/>
              </w:rPr>
            </w:pPr>
            <w:r>
              <w:rPr>
                <w:rFonts w:ascii="Aptos" w:hAnsi="Aptos"/>
                <w:color w:val="000000"/>
                <w:sz w:val="20"/>
                <w:szCs w:val="20"/>
              </w:rPr>
              <w:t>6</w:t>
            </w:r>
          </w:p>
        </w:tc>
      </w:tr>
      <w:tr w:rsidR="00215F40" w14:paraId="5DE2280A"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BDA2D" w14:textId="77777777" w:rsidR="00215F40" w:rsidRDefault="00215F40">
            <w:pPr>
              <w:pStyle w:val="NormalWeb"/>
              <w:rPr>
                <w:rFonts w:ascii="Aptos" w:hAnsi="Aptos"/>
                <w:color w:val="000000"/>
                <w:sz w:val="20"/>
                <w:szCs w:val="20"/>
              </w:rPr>
            </w:pPr>
            <w:r>
              <w:rPr>
                <w:rFonts w:ascii="Aptos" w:hAnsi="Aptos"/>
                <w:color w:val="000000"/>
                <w:sz w:val="20"/>
                <w:szCs w:val="20"/>
              </w:rPr>
              <w:t>Grimsby</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89DEF34" w14:textId="77777777" w:rsidR="00215F40" w:rsidRDefault="00215F40" w:rsidP="00DE35A8">
            <w:pPr>
              <w:pStyle w:val="NormalWeb"/>
              <w:jc w:val="center"/>
              <w:rPr>
                <w:rFonts w:ascii="Aptos" w:hAnsi="Aptos"/>
                <w:color w:val="000000"/>
                <w:sz w:val="20"/>
                <w:szCs w:val="20"/>
              </w:rPr>
            </w:pPr>
            <w:r>
              <w:rPr>
                <w:rFonts w:ascii="Aptos" w:hAnsi="Aptos"/>
                <w:color w:val="000000"/>
                <w:sz w:val="20"/>
                <w:szCs w:val="20"/>
              </w:rPr>
              <w:t>13</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7DEE6538" w14:textId="77777777" w:rsidR="00215F40" w:rsidRDefault="00215F40">
            <w:pPr>
              <w:pStyle w:val="NormalWeb"/>
              <w:jc w:val="center"/>
              <w:rPr>
                <w:rFonts w:ascii="Aptos" w:hAnsi="Aptos"/>
                <w:color w:val="000000"/>
                <w:sz w:val="20"/>
                <w:szCs w:val="20"/>
              </w:rPr>
            </w:pPr>
            <w:r>
              <w:rPr>
                <w:rFonts w:ascii="Aptos" w:hAnsi="Aptos"/>
                <w:color w:val="000000"/>
                <w:sz w:val="20"/>
                <w:szCs w:val="20"/>
              </w:rPr>
              <w:t>8</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DAE128D" w14:textId="77777777" w:rsidR="00215F40" w:rsidRDefault="00215F40">
            <w:pPr>
              <w:pStyle w:val="NormalWeb"/>
              <w:jc w:val="center"/>
              <w:rPr>
                <w:rFonts w:ascii="Aptos" w:hAnsi="Aptos"/>
                <w:color w:val="000000"/>
                <w:sz w:val="20"/>
                <w:szCs w:val="20"/>
              </w:rPr>
            </w:pPr>
            <w:r>
              <w:rPr>
                <w:rFonts w:ascii="Aptos" w:hAnsi="Aptos"/>
                <w:color w:val="000000"/>
                <w:sz w:val="20"/>
                <w:szCs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5A0A72C7" w14:textId="3AA88755" w:rsidR="00215F40" w:rsidRDefault="003F28C8" w:rsidP="00DE35A8">
            <w:pPr>
              <w:pStyle w:val="NormalWeb"/>
              <w:jc w:val="center"/>
              <w:rPr>
                <w:rFonts w:ascii="Aptos" w:hAnsi="Aptos"/>
                <w:color w:val="000000"/>
                <w:sz w:val="20"/>
                <w:szCs w:val="20"/>
              </w:rPr>
            </w:pPr>
            <w:r>
              <w:rPr>
                <w:rFonts w:ascii="Aptos" w:hAnsi="Aptos"/>
                <w:color w:val="000000"/>
                <w:sz w:val="20"/>
                <w:szCs w:val="20"/>
              </w:rPr>
              <w:t>9</w:t>
            </w:r>
          </w:p>
        </w:tc>
      </w:tr>
      <w:tr w:rsidR="00215F40" w14:paraId="08EC368F" w14:textId="77777777" w:rsidTr="00215F40">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6E91D" w14:textId="77777777" w:rsidR="00215F40" w:rsidRDefault="00215F40">
            <w:pPr>
              <w:pStyle w:val="NormalWeb"/>
              <w:rPr>
                <w:rFonts w:ascii="Aptos" w:hAnsi="Aptos"/>
                <w:color w:val="000000"/>
                <w:sz w:val="20"/>
                <w:szCs w:val="20"/>
              </w:rPr>
            </w:pPr>
            <w:r>
              <w:rPr>
                <w:rFonts w:ascii="Aptos" w:hAnsi="Aptos"/>
                <w:color w:val="000000"/>
                <w:sz w:val="20"/>
                <w:szCs w:val="20"/>
              </w:rPr>
              <w:t>Scunthorpe</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7C9E371" w14:textId="77777777" w:rsidR="00215F40" w:rsidRDefault="00215F40" w:rsidP="00DE35A8">
            <w:pPr>
              <w:pStyle w:val="NormalWeb"/>
              <w:jc w:val="center"/>
              <w:rPr>
                <w:rFonts w:ascii="Aptos" w:hAnsi="Aptos"/>
                <w:color w:val="000000"/>
                <w:sz w:val="20"/>
                <w:szCs w:val="20"/>
              </w:rPr>
            </w:pPr>
            <w:r>
              <w:rPr>
                <w:rFonts w:ascii="Aptos" w:hAnsi="Aptos"/>
                <w:color w:val="000000"/>
                <w:sz w:val="20"/>
                <w:szCs w:val="20"/>
              </w:rPr>
              <w:t>8</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37271ABA" w14:textId="77777777" w:rsidR="00215F40" w:rsidRDefault="00215F40">
            <w:pPr>
              <w:pStyle w:val="NormalWeb"/>
              <w:jc w:val="center"/>
              <w:rPr>
                <w:rFonts w:ascii="Aptos" w:hAnsi="Aptos"/>
                <w:color w:val="000000"/>
                <w:sz w:val="20"/>
                <w:szCs w:val="20"/>
              </w:rPr>
            </w:pPr>
            <w:r>
              <w:rPr>
                <w:rFonts w:ascii="Aptos" w:hAnsi="Aptos"/>
                <w:color w:val="000000"/>
                <w:sz w:val="20"/>
                <w:szCs w:val="20"/>
              </w:rPr>
              <w:t>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72391FA5" w14:textId="77777777" w:rsidR="00215F40" w:rsidRDefault="00215F40">
            <w:pPr>
              <w:pStyle w:val="NormalWeb"/>
              <w:jc w:val="center"/>
              <w:rPr>
                <w:rFonts w:ascii="Aptos" w:hAnsi="Aptos"/>
                <w:color w:val="000000"/>
                <w:sz w:val="20"/>
                <w:szCs w:val="20"/>
              </w:rPr>
            </w:pPr>
            <w:r>
              <w:rPr>
                <w:rFonts w:ascii="Aptos" w:hAnsi="Aptos"/>
                <w:color w:val="000000"/>
                <w:sz w:val="20"/>
                <w:szCs w:val="20"/>
              </w:rPr>
              <w:t>6</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147FE120" w14:textId="6E5C8FBC" w:rsidR="00215F40" w:rsidRDefault="003F28C8" w:rsidP="00DE35A8">
            <w:pPr>
              <w:pStyle w:val="NormalWeb"/>
              <w:jc w:val="center"/>
              <w:rPr>
                <w:rFonts w:ascii="Aptos" w:hAnsi="Aptos"/>
                <w:color w:val="000000"/>
                <w:sz w:val="20"/>
                <w:szCs w:val="20"/>
              </w:rPr>
            </w:pPr>
            <w:r>
              <w:rPr>
                <w:rFonts w:ascii="Aptos" w:hAnsi="Aptos"/>
                <w:color w:val="000000"/>
                <w:sz w:val="20"/>
                <w:szCs w:val="20"/>
              </w:rPr>
              <w:t>7</w:t>
            </w:r>
          </w:p>
        </w:tc>
      </w:tr>
      <w:tr w:rsidR="00215F40" w14:paraId="593C7B5B" w14:textId="77777777" w:rsidTr="003509C8">
        <w:tc>
          <w:tcPr>
            <w:tcW w:w="3970"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8F5CCAF" w14:textId="77777777" w:rsidR="00215F40" w:rsidRPr="001B27E6" w:rsidRDefault="00215F40">
            <w:pPr>
              <w:pStyle w:val="NormalWeb"/>
              <w:rPr>
                <w:rFonts w:ascii="Aptos" w:hAnsi="Aptos"/>
                <w:b/>
                <w:bCs/>
                <w:color w:val="000000"/>
                <w:sz w:val="20"/>
                <w:szCs w:val="20"/>
              </w:rPr>
            </w:pPr>
            <w:r w:rsidRPr="001B27E6">
              <w:rPr>
                <w:rFonts w:ascii="Aptos" w:hAnsi="Aptos"/>
                <w:b/>
                <w:bCs/>
                <w:color w:val="000000"/>
                <w:sz w:val="20"/>
                <w:szCs w:val="20"/>
              </w:rPr>
              <w:t>Totals</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8BA5361" w14:textId="77777777" w:rsidR="00215F40" w:rsidRPr="001B27E6" w:rsidRDefault="00215F40" w:rsidP="00DE35A8">
            <w:pPr>
              <w:pStyle w:val="NormalWeb"/>
              <w:jc w:val="center"/>
              <w:rPr>
                <w:rFonts w:ascii="Aptos" w:hAnsi="Aptos"/>
                <w:b/>
                <w:bCs/>
                <w:color w:val="000000"/>
                <w:sz w:val="20"/>
                <w:szCs w:val="20"/>
              </w:rPr>
            </w:pPr>
            <w:r w:rsidRPr="001B27E6">
              <w:rPr>
                <w:rFonts w:ascii="Aptos" w:hAnsi="Aptos"/>
                <w:b/>
                <w:bCs/>
                <w:color w:val="000000"/>
                <w:sz w:val="20"/>
                <w:szCs w:val="20"/>
              </w:rPr>
              <w:t>89</w:t>
            </w:r>
          </w:p>
        </w:tc>
        <w:tc>
          <w:tcPr>
            <w:tcW w:w="10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F1D891A" w14:textId="77777777" w:rsidR="00215F40" w:rsidRPr="001B27E6" w:rsidRDefault="00215F40">
            <w:pPr>
              <w:pStyle w:val="NormalWeb"/>
              <w:jc w:val="center"/>
              <w:rPr>
                <w:rFonts w:ascii="Aptos" w:hAnsi="Aptos"/>
                <w:b/>
                <w:bCs/>
                <w:color w:val="000000"/>
                <w:sz w:val="20"/>
                <w:szCs w:val="20"/>
              </w:rPr>
            </w:pPr>
            <w:r w:rsidRPr="001B27E6">
              <w:rPr>
                <w:rFonts w:ascii="Aptos" w:hAnsi="Aptos"/>
                <w:b/>
                <w:bCs/>
                <w:color w:val="000000"/>
                <w:sz w:val="20"/>
                <w:szCs w:val="20"/>
              </w:rPr>
              <w:t> 44</w:t>
            </w:r>
          </w:p>
        </w:tc>
        <w:tc>
          <w:tcPr>
            <w:tcW w:w="89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B21949F" w14:textId="77777777" w:rsidR="00215F40" w:rsidRPr="001B27E6" w:rsidRDefault="00215F40">
            <w:pPr>
              <w:pStyle w:val="NormalWeb"/>
              <w:jc w:val="center"/>
              <w:rPr>
                <w:rFonts w:ascii="Aptos" w:hAnsi="Aptos"/>
                <w:b/>
                <w:bCs/>
                <w:color w:val="000000"/>
                <w:sz w:val="20"/>
                <w:szCs w:val="20"/>
              </w:rPr>
            </w:pPr>
            <w:r w:rsidRPr="001B27E6">
              <w:rPr>
                <w:rFonts w:ascii="Aptos" w:hAnsi="Aptos"/>
                <w:b/>
                <w:bCs/>
                <w:color w:val="000000"/>
                <w:sz w:val="20"/>
                <w:szCs w:val="20"/>
              </w:rPr>
              <w:t> 45</w:t>
            </w:r>
          </w:p>
        </w:tc>
        <w:tc>
          <w:tcPr>
            <w:tcW w:w="1463"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24F5A00" w14:textId="45B8DF2F" w:rsidR="00215F40" w:rsidRPr="001B27E6" w:rsidRDefault="003F28C8" w:rsidP="00DE35A8">
            <w:pPr>
              <w:pStyle w:val="NormalWeb"/>
              <w:jc w:val="center"/>
              <w:rPr>
                <w:rFonts w:ascii="Aptos" w:hAnsi="Aptos"/>
                <w:b/>
                <w:bCs/>
                <w:color w:val="000000"/>
                <w:sz w:val="20"/>
                <w:szCs w:val="20"/>
              </w:rPr>
            </w:pPr>
            <w:r>
              <w:rPr>
                <w:rFonts w:ascii="Aptos" w:hAnsi="Aptos"/>
                <w:b/>
                <w:bCs/>
                <w:color w:val="000000"/>
                <w:sz w:val="20"/>
                <w:szCs w:val="20"/>
              </w:rPr>
              <w:t>67</w:t>
            </w:r>
          </w:p>
        </w:tc>
      </w:tr>
    </w:tbl>
    <w:p w14:paraId="3FBAE506" w14:textId="77777777" w:rsidR="006D4FD6" w:rsidRDefault="006D4FD6" w:rsidP="009739E3">
      <w:pPr>
        <w:rPr>
          <w:sz w:val="28"/>
          <w:szCs w:val="28"/>
        </w:rPr>
      </w:pPr>
    </w:p>
    <w:p w14:paraId="5B12EAB3" w14:textId="77777777" w:rsidR="006D4FD6" w:rsidRDefault="006D4FD6" w:rsidP="009739E3">
      <w:pPr>
        <w:rPr>
          <w:sz w:val="28"/>
          <w:szCs w:val="28"/>
        </w:rPr>
      </w:pPr>
    </w:p>
    <w:p w14:paraId="6CE411AC" w14:textId="77777777" w:rsidR="0003195E" w:rsidRDefault="0003195E" w:rsidP="009739E3">
      <w:pPr>
        <w:rPr>
          <w:sz w:val="28"/>
          <w:szCs w:val="28"/>
        </w:rPr>
      </w:pPr>
    </w:p>
    <w:p w14:paraId="46E0C876" w14:textId="77777777" w:rsidR="0003195E" w:rsidRPr="009739E3" w:rsidRDefault="0003195E" w:rsidP="009739E3">
      <w:pPr>
        <w:rPr>
          <w:sz w:val="28"/>
          <w:szCs w:val="28"/>
        </w:rPr>
      </w:pPr>
    </w:p>
    <w:sectPr w:rsidR="0003195E" w:rsidRPr="009739E3" w:rsidSect="001F4210">
      <w:headerReference w:type="even" r:id="rId36"/>
      <w:headerReference w:type="default" r:id="rId37"/>
      <w:footerReference w:type="default" r:id="rId38"/>
      <w:headerReference w:type="first" r:id="rId39"/>
      <w:pgSz w:w="11910" w:h="16840"/>
      <w:pgMar w:top="567" w:right="561" w:bottom="278" w:left="1202" w:header="0" w:footer="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5466" w14:textId="77777777" w:rsidR="00976B9A" w:rsidRDefault="00976B9A">
      <w:r>
        <w:separator/>
      </w:r>
    </w:p>
  </w:endnote>
  <w:endnote w:type="continuationSeparator" w:id="0">
    <w:p w14:paraId="1CBA4530" w14:textId="77777777" w:rsidR="00976B9A" w:rsidRDefault="009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8602960"/>
      <w:docPartObj>
        <w:docPartGallery w:val="Page Numbers (Bottom of Page)"/>
        <w:docPartUnique/>
      </w:docPartObj>
    </w:sdtPr>
    <w:sdtEndPr>
      <w:rPr>
        <w:noProof/>
        <w:sz w:val="22"/>
        <w:szCs w:val="22"/>
      </w:rPr>
    </w:sdtEndPr>
    <w:sdtContent>
      <w:p w14:paraId="7851ACA8" w14:textId="0C0278BA" w:rsidR="00976B9A" w:rsidRDefault="00976B9A">
        <w:pPr>
          <w:pStyle w:val="Footer"/>
          <w:jc w:val="right"/>
        </w:pPr>
        <w:r w:rsidRPr="002C264E">
          <w:rPr>
            <w:sz w:val="16"/>
            <w:szCs w:val="16"/>
          </w:rPr>
          <w:t xml:space="preserve">North East and Yorkshire Region Adult Critical Care Surge Plan Guidance </w:t>
        </w:r>
        <w:r>
          <w:tab/>
        </w:r>
        <w:r>
          <w:fldChar w:fldCharType="begin"/>
        </w:r>
        <w:r>
          <w:instrText xml:space="preserve"> PAGE   \* MERGEFORMAT </w:instrText>
        </w:r>
        <w:r>
          <w:fldChar w:fldCharType="separate"/>
        </w:r>
        <w:r w:rsidR="00BC5069">
          <w:rPr>
            <w:noProof/>
          </w:rPr>
          <w:t>8</w:t>
        </w:r>
        <w:r>
          <w:rPr>
            <w:noProof/>
          </w:rPr>
          <w:fldChar w:fldCharType="end"/>
        </w:r>
      </w:p>
    </w:sdtContent>
  </w:sdt>
  <w:p w14:paraId="21B1DAAC" w14:textId="77777777" w:rsidR="00976B9A" w:rsidRDefault="0097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3E818036" w14:textId="77777777" w:rsidR="00976B9A" w:rsidRDefault="00976B9A">
        <w:pPr>
          <w:pStyle w:val="Footer"/>
        </w:pPr>
        <w:r>
          <w:t>[Type here]</w:t>
        </w:r>
      </w:p>
    </w:sdtContent>
  </w:sdt>
  <w:p w14:paraId="72122E27" w14:textId="77777777" w:rsidR="00976B9A" w:rsidRDefault="00976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7684"/>
      <w:docPartObj>
        <w:docPartGallery w:val="Page Numbers (Bottom of Page)"/>
        <w:docPartUnique/>
      </w:docPartObj>
    </w:sdtPr>
    <w:sdtEndPr/>
    <w:sdtContent>
      <w:sdt>
        <w:sdtPr>
          <w:rPr>
            <w:sz w:val="16"/>
            <w:szCs w:val="16"/>
          </w:rPr>
          <w:id w:val="-1931729382"/>
          <w:docPartObj>
            <w:docPartGallery w:val="Page Numbers (Bottom of Page)"/>
            <w:docPartUnique/>
          </w:docPartObj>
        </w:sdtPr>
        <w:sdtEndPr>
          <w:rPr>
            <w:noProof/>
            <w:sz w:val="22"/>
            <w:szCs w:val="22"/>
          </w:rPr>
        </w:sdtEndPr>
        <w:sdtContent>
          <w:p w14:paraId="276D5916" w14:textId="1382BC71" w:rsidR="00976B9A" w:rsidRDefault="00976B9A" w:rsidP="00252DEB">
            <w:pPr>
              <w:pStyle w:val="Footer"/>
              <w:jc w:val="right"/>
            </w:pPr>
            <w:r w:rsidRPr="002C264E">
              <w:rPr>
                <w:sz w:val="16"/>
                <w:szCs w:val="16"/>
              </w:rPr>
              <w:t xml:space="preserve">North East and Yorkshire Region Adult Critical Care Surge Plan Guidance </w:t>
            </w:r>
            <w:r>
              <w:tab/>
            </w:r>
            <w:r>
              <w:fldChar w:fldCharType="begin"/>
            </w:r>
            <w:r>
              <w:instrText xml:space="preserve"> PAGE   \* MERGEFORMAT </w:instrText>
            </w:r>
            <w:r>
              <w:fldChar w:fldCharType="separate"/>
            </w:r>
            <w:r w:rsidR="00BC5069">
              <w:rPr>
                <w:noProof/>
              </w:rPr>
              <w:t>18</w:t>
            </w:r>
            <w:r>
              <w:rPr>
                <w:noProof/>
              </w:rPr>
              <w:fldChar w:fldCharType="end"/>
            </w:r>
          </w:p>
        </w:sdtContent>
      </w:sdt>
    </w:sdtContent>
  </w:sdt>
  <w:p w14:paraId="40391958" w14:textId="1920244F" w:rsidR="00976B9A" w:rsidRPr="002577D4" w:rsidRDefault="00976B9A" w:rsidP="0025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33B4" w14:textId="77777777" w:rsidR="00976B9A" w:rsidRDefault="00976B9A">
      <w:r>
        <w:separator/>
      </w:r>
    </w:p>
  </w:footnote>
  <w:footnote w:type="continuationSeparator" w:id="0">
    <w:p w14:paraId="49DA33CA" w14:textId="77777777" w:rsidR="00976B9A" w:rsidRDefault="00976B9A">
      <w:r>
        <w:continuationSeparator/>
      </w:r>
    </w:p>
  </w:footnote>
  <w:footnote w:id="1">
    <w:p w14:paraId="3DFBDEE2" w14:textId="77777777" w:rsidR="00976B9A" w:rsidRDefault="00976B9A" w:rsidP="00E41CC8">
      <w:pPr>
        <w:pStyle w:val="FootnoteText"/>
      </w:pPr>
      <w:r>
        <w:rPr>
          <w:rStyle w:val="FootnoteReference"/>
        </w:rPr>
        <w:footnoteRef/>
      </w:r>
      <w:r>
        <w:t xml:space="preserve"> Very high</w:t>
      </w:r>
      <w:r w:rsidRPr="0031365D">
        <w:t xml:space="preserve"> local surge is defined as 100% baseline capacity occupied with no discharges in the previous 24 hours</w:t>
      </w:r>
    </w:p>
  </w:footnote>
  <w:footnote w:id="2">
    <w:p w14:paraId="43F8BC51" w14:textId="77777777" w:rsidR="00976B9A" w:rsidRDefault="00976B9A" w:rsidP="006121EC">
      <w:pPr>
        <w:pStyle w:val="FootnoteText"/>
      </w:pPr>
      <w:r>
        <w:rPr>
          <w:rStyle w:val="FootnoteReference"/>
        </w:rPr>
        <w:footnoteRef/>
      </w:r>
      <w:r>
        <w:t xml:space="preserve"> Exceptional circumstances are defined as an increase in demand which results in 100% baseline occupancy with no discharges in the previous 24-hour period. </w:t>
      </w:r>
    </w:p>
  </w:footnote>
  <w:footnote w:id="3">
    <w:p w14:paraId="27381F33" w14:textId="77777777" w:rsidR="00976B9A" w:rsidRDefault="00976B9A" w:rsidP="00333B5C">
      <w:pPr>
        <w:pStyle w:val="FootnoteText"/>
      </w:pPr>
      <w:r>
        <w:rPr>
          <w:rStyle w:val="FootnoteReference"/>
        </w:rPr>
        <w:footnoteRef/>
      </w:r>
      <w:r>
        <w:t xml:space="preserve"> Capacity transfers are defined as “transfers for non-clinical reasons” see glossary</w:t>
      </w:r>
    </w:p>
  </w:footnote>
  <w:footnote w:id="4">
    <w:p w14:paraId="61185668" w14:textId="798B7298" w:rsidR="00976B9A" w:rsidRDefault="00976B9A">
      <w:pPr>
        <w:pStyle w:val="FootnoteText"/>
      </w:pPr>
      <w:r>
        <w:rPr>
          <w:rStyle w:val="FootnoteReference"/>
        </w:rPr>
        <w:footnoteRef/>
      </w:r>
      <w:r>
        <w:t xml:space="preserve"> Mutual aid = sharing of resources between units, hospitals, trusts, systems or regions. This may occur outside surge conditions in times of shortages (e.g. medicines, equipment) but more usually refers to the requirements to ‘level-load’ during surges in demand which require expansion of services beyond their usual footprint.</w:t>
      </w:r>
    </w:p>
  </w:footnote>
  <w:footnote w:id="5">
    <w:p w14:paraId="7D0E7AC2" w14:textId="77777777" w:rsidR="00976B9A" w:rsidRDefault="00976B9A" w:rsidP="00715F8D">
      <w:pPr>
        <w:pStyle w:val="FootnoteText"/>
      </w:pPr>
      <w:r>
        <w:rPr>
          <w:rStyle w:val="FootnoteReference"/>
        </w:rPr>
        <w:footnoteRef/>
      </w:r>
      <w:r>
        <w:t xml:space="preserve"> </w:t>
      </w:r>
      <w:hyperlink r:id="rId1" w:history="1">
        <w:r w:rsidRPr="0066291E">
          <w:rPr>
            <w:rStyle w:val="Hyperlink"/>
          </w:rPr>
          <w:t>https://www.england.nhs.uk/wp-content/uploads/2019/02/operational-pressures-escalation-levels-framework-v2.pdf</w:t>
        </w:r>
      </w:hyperlink>
    </w:p>
    <w:p w14:paraId="2F8857DE" w14:textId="77777777" w:rsidR="00976B9A" w:rsidRDefault="00976B9A" w:rsidP="00715F8D">
      <w:pPr>
        <w:pStyle w:val="FootnoteText"/>
      </w:pPr>
      <w:r>
        <w:t xml:space="preserve"> </w:t>
      </w:r>
    </w:p>
  </w:footnote>
  <w:footnote w:id="6">
    <w:p w14:paraId="1C9FAF00" w14:textId="77777777" w:rsidR="00976B9A" w:rsidRDefault="00976B9A" w:rsidP="00715F8D">
      <w:pPr>
        <w:pStyle w:val="FootnoteText"/>
      </w:pPr>
      <w:r>
        <w:rPr>
          <w:rStyle w:val="FootnoteReference"/>
        </w:rPr>
        <w:footnoteRef/>
      </w:r>
      <w:r w:rsidRPr="008103A3">
        <w:rPr>
          <w:sz w:val="16"/>
          <w:szCs w:val="16"/>
        </w:rPr>
        <w:t xml:space="preserve"> </w:t>
      </w:r>
      <w:hyperlink r:id="rId2" w:history="1">
        <w:r w:rsidRPr="008103A3">
          <w:rPr>
            <w:color w:val="0000FF"/>
            <w:sz w:val="18"/>
            <w:szCs w:val="18"/>
            <w:u w:val="single"/>
          </w:rPr>
          <w:t>gpics-v2.pdf (ficm.ac.uk)</w:t>
        </w:r>
      </w:hyperlink>
    </w:p>
  </w:footnote>
  <w:footnote w:id="7">
    <w:p w14:paraId="0983B682" w14:textId="75DDC628" w:rsidR="00976B9A" w:rsidRDefault="00976B9A">
      <w:pPr>
        <w:pStyle w:val="FootnoteText"/>
      </w:pPr>
      <w:r>
        <w:rPr>
          <w:rStyle w:val="FootnoteReference"/>
        </w:rPr>
        <w:footnoteRef/>
      </w:r>
      <w:r>
        <w:t xml:space="preserve"> </w:t>
      </w:r>
      <w:hyperlink r:id="rId3" w:history="1">
        <w:r w:rsidRPr="002034F9">
          <w:rPr>
            <w:rStyle w:val="Hyperlink"/>
          </w:rPr>
          <w:t>https://www.england.nhs.uk/coronavirus/wp-content/uploads/sites/52/2020/12/C0833_advice-on-acute-sector-workforce-models-during-COVID_with-apps_10dec.pdf</w:t>
        </w:r>
      </w:hyperlink>
      <w:r>
        <w:t xml:space="preserve"> </w:t>
      </w:r>
    </w:p>
  </w:footnote>
  <w:footnote w:id="8">
    <w:p w14:paraId="767AECEA" w14:textId="12470574" w:rsidR="00976B9A" w:rsidRDefault="00976B9A">
      <w:pPr>
        <w:pStyle w:val="FootnoteText"/>
      </w:pPr>
      <w:r>
        <w:rPr>
          <w:rStyle w:val="FootnoteReference"/>
        </w:rPr>
        <w:footnoteRef/>
      </w:r>
      <w:r>
        <w:t xml:space="preserve"> </w:t>
      </w:r>
      <w:hyperlink r:id="rId4" w:history="1">
        <w:r w:rsidRPr="0066291E">
          <w:rPr>
            <w:rStyle w:val="Hyperlink"/>
          </w:rPr>
          <w:t>https://www.baccn.org/static/uploads/resources/UKCCNA_position_Sep_2021_FINAL.pdf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44AE" w14:textId="66ED39EA" w:rsidR="00976B9A" w:rsidRPr="0024502F" w:rsidRDefault="00976B9A" w:rsidP="00A63B99">
    <w:pPr>
      <w:pStyle w:val="Header"/>
      <w:jc w:val="right"/>
      <w:rPr>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C19" w14:textId="1099492C" w:rsidR="00976B9A" w:rsidRDefault="00976B9A" w:rsidP="00FB0DCB">
    <w:pPr>
      <w:pStyle w:val="Header"/>
    </w:pPr>
    <w:r>
      <w:rPr>
        <w:noProof/>
        <w:lang w:bidi="ar-SA"/>
      </w:rPr>
      <w:drawing>
        <wp:anchor distT="0" distB="0" distL="114300" distR="114300" simplePos="0" relativeHeight="251658240" behindDoc="0" locked="0" layoutInCell="1" allowOverlap="1" wp14:anchorId="57154F70" wp14:editId="1C5C34EC">
          <wp:simplePos x="0" y="0"/>
          <wp:positionH relativeFrom="column">
            <wp:posOffset>4678638</wp:posOffset>
          </wp:positionH>
          <wp:positionV relativeFrom="paragraph">
            <wp:posOffset>-160136</wp:posOffset>
          </wp:positionV>
          <wp:extent cx="2030095" cy="817245"/>
          <wp:effectExtent l="0" t="0" r="8255" b="1905"/>
          <wp:wrapSquare wrapText="bothSides"/>
          <wp:docPr id="455956689" name="Picture 45595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8172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B1D0" w14:textId="16A48B99" w:rsidR="00976B9A" w:rsidRDefault="00976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3FA8" w14:textId="418C1A70" w:rsidR="00976B9A" w:rsidRDefault="00976B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883D" w14:textId="35D3BA73" w:rsidR="00976B9A" w:rsidRDefault="00976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4D1"/>
    <w:multiLevelType w:val="multilevel"/>
    <w:tmpl w:val="433E11E0"/>
    <w:lvl w:ilvl="0">
      <w:start w:val="1"/>
      <w:numFmt w:val="decimal"/>
      <w:lvlText w:val="%1."/>
      <w:lvlJc w:val="left"/>
      <w:pPr>
        <w:ind w:left="1379" w:hanging="1138"/>
      </w:pPr>
      <w:rPr>
        <w:rFonts w:ascii="Arial" w:eastAsia="Arial" w:hAnsi="Arial" w:cs="Arial" w:hint="default"/>
        <w:b/>
        <w:bCs/>
        <w:color w:val="006FC0"/>
        <w:spacing w:val="-1"/>
        <w:w w:val="99"/>
        <w:sz w:val="29"/>
        <w:szCs w:val="29"/>
        <w:lang w:val="en-GB" w:eastAsia="en-GB" w:bidi="en-GB"/>
      </w:rPr>
    </w:lvl>
    <w:lvl w:ilvl="1">
      <w:start w:val="1"/>
      <w:numFmt w:val="decimal"/>
      <w:lvlText w:val="%1.%2."/>
      <w:lvlJc w:val="left"/>
      <w:pPr>
        <w:ind w:left="1990" w:hanging="1138"/>
      </w:pPr>
      <w:rPr>
        <w:rFonts w:hint="default"/>
        <w:b w:val="0"/>
        <w:bCs/>
        <w:color w:val="auto"/>
        <w:spacing w:val="-6"/>
        <w:w w:val="99"/>
        <w:sz w:val="24"/>
        <w:szCs w:val="18"/>
        <w:lang w:val="en-GB" w:eastAsia="en-GB" w:bidi="en-GB"/>
      </w:rPr>
    </w:lvl>
    <w:lvl w:ilvl="2">
      <w:start w:val="1"/>
      <w:numFmt w:val="bullet"/>
      <w:lvlText w:val=""/>
      <w:lvlJc w:val="left"/>
      <w:pPr>
        <w:ind w:left="1828" w:hanging="1138"/>
      </w:pPr>
      <w:rPr>
        <w:rFonts w:ascii="Symbol" w:hAnsi="Symbol" w:hint="default"/>
        <w:color w:val="auto"/>
        <w:spacing w:val="-6"/>
        <w:w w:val="99"/>
        <w:sz w:val="24"/>
        <w:szCs w:val="24"/>
        <w:lang w:val="en-GB" w:eastAsia="en-GB" w:bidi="en-GB"/>
      </w:rPr>
    </w:lvl>
    <w:lvl w:ilvl="3">
      <w:numFmt w:val="bullet"/>
      <w:lvlText w:val="•"/>
      <w:lvlJc w:val="left"/>
      <w:pPr>
        <w:ind w:left="2128" w:hanging="1138"/>
      </w:pPr>
      <w:rPr>
        <w:rFonts w:hint="default"/>
        <w:lang w:val="en-GB" w:eastAsia="en-GB" w:bidi="en-GB"/>
      </w:rPr>
    </w:lvl>
    <w:lvl w:ilvl="4">
      <w:numFmt w:val="bullet"/>
      <w:lvlText w:val="•"/>
      <w:lvlJc w:val="left"/>
      <w:pPr>
        <w:ind w:left="4594" w:hanging="1138"/>
      </w:pPr>
      <w:rPr>
        <w:rFonts w:hint="default"/>
        <w:lang w:val="en-GB" w:eastAsia="en-GB" w:bidi="en-GB"/>
      </w:rPr>
    </w:lvl>
    <w:lvl w:ilvl="5">
      <w:numFmt w:val="bullet"/>
      <w:lvlText w:val="•"/>
      <w:lvlJc w:val="left"/>
      <w:pPr>
        <w:ind w:left="5519" w:hanging="1138"/>
      </w:pPr>
      <w:rPr>
        <w:rFonts w:hint="default"/>
        <w:lang w:val="en-GB" w:eastAsia="en-GB" w:bidi="en-GB"/>
      </w:rPr>
    </w:lvl>
    <w:lvl w:ilvl="6">
      <w:numFmt w:val="bullet"/>
      <w:lvlText w:val="•"/>
      <w:lvlJc w:val="left"/>
      <w:pPr>
        <w:ind w:left="6444" w:hanging="1138"/>
      </w:pPr>
      <w:rPr>
        <w:rFonts w:hint="default"/>
        <w:lang w:val="en-GB" w:eastAsia="en-GB" w:bidi="en-GB"/>
      </w:rPr>
    </w:lvl>
    <w:lvl w:ilvl="7">
      <w:numFmt w:val="bullet"/>
      <w:lvlText w:val="•"/>
      <w:lvlJc w:val="left"/>
      <w:pPr>
        <w:ind w:left="7369" w:hanging="1138"/>
      </w:pPr>
      <w:rPr>
        <w:rFonts w:hint="default"/>
        <w:lang w:val="en-GB" w:eastAsia="en-GB" w:bidi="en-GB"/>
      </w:rPr>
    </w:lvl>
    <w:lvl w:ilvl="8">
      <w:numFmt w:val="bullet"/>
      <w:lvlText w:val="•"/>
      <w:lvlJc w:val="left"/>
      <w:pPr>
        <w:ind w:left="8294" w:hanging="1138"/>
      </w:pPr>
      <w:rPr>
        <w:rFonts w:hint="default"/>
        <w:lang w:val="en-GB" w:eastAsia="en-GB" w:bidi="en-GB"/>
      </w:rPr>
    </w:lvl>
  </w:abstractNum>
  <w:abstractNum w:abstractNumId="1" w15:restartNumberingAfterBreak="0">
    <w:nsid w:val="0F2955B8"/>
    <w:multiLevelType w:val="hybridMultilevel"/>
    <w:tmpl w:val="768436B2"/>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12870B8B"/>
    <w:multiLevelType w:val="multilevel"/>
    <w:tmpl w:val="557E4D30"/>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BodyText11"/>
      <w:lvlText w:val="%1.%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5E2FC7"/>
    <w:multiLevelType w:val="hybridMultilevel"/>
    <w:tmpl w:val="AF9C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918ED"/>
    <w:multiLevelType w:val="multilevel"/>
    <w:tmpl w:val="253CF680"/>
    <w:lvl w:ilvl="0">
      <w:start w:val="8"/>
      <w:numFmt w:val="decimal"/>
      <w:lvlText w:val="%1."/>
      <w:lvlJc w:val="left"/>
      <w:pPr>
        <w:ind w:left="1379" w:hanging="1138"/>
      </w:pPr>
      <w:rPr>
        <w:rFonts w:ascii="Arial" w:eastAsia="Arial" w:hAnsi="Arial" w:cs="Arial" w:hint="default"/>
        <w:b/>
        <w:bCs/>
        <w:color w:val="006FC0"/>
        <w:spacing w:val="-1"/>
        <w:w w:val="99"/>
        <w:sz w:val="29"/>
        <w:szCs w:val="29"/>
      </w:rPr>
    </w:lvl>
    <w:lvl w:ilvl="1">
      <w:start w:val="1"/>
      <w:numFmt w:val="decimal"/>
      <w:lvlText w:val="%1.%2."/>
      <w:lvlJc w:val="left"/>
      <w:pPr>
        <w:ind w:left="1318" w:hanging="1138"/>
      </w:pPr>
      <w:rPr>
        <w:rFonts w:hint="default"/>
        <w:b w:val="0"/>
        <w:bCs/>
        <w:color w:val="auto"/>
        <w:spacing w:val="-6"/>
        <w:w w:val="99"/>
        <w:sz w:val="24"/>
        <w:szCs w:val="18"/>
      </w:rPr>
    </w:lvl>
    <w:lvl w:ilvl="2">
      <w:start w:val="1"/>
      <w:numFmt w:val="lowerLetter"/>
      <w:lvlText w:val="%3)"/>
      <w:lvlJc w:val="left"/>
      <w:pPr>
        <w:ind w:left="1828" w:hanging="1138"/>
      </w:pPr>
      <w:rPr>
        <w:rFonts w:ascii="Arial" w:eastAsia="Arial" w:hAnsi="Arial" w:cs="Arial" w:hint="default"/>
        <w:color w:val="auto"/>
        <w:spacing w:val="-6"/>
        <w:w w:val="99"/>
        <w:sz w:val="24"/>
        <w:szCs w:val="24"/>
      </w:rPr>
    </w:lvl>
    <w:lvl w:ilvl="3">
      <w:numFmt w:val="bullet"/>
      <w:lvlText w:val="•"/>
      <w:lvlJc w:val="left"/>
      <w:pPr>
        <w:ind w:left="3669" w:hanging="1138"/>
      </w:pPr>
      <w:rPr>
        <w:rFonts w:hint="default"/>
        <w:color w:val="FFFFFF" w:themeColor="background1"/>
      </w:rPr>
    </w:lvl>
    <w:lvl w:ilvl="4">
      <w:numFmt w:val="bullet"/>
      <w:lvlText w:val="•"/>
      <w:lvlJc w:val="left"/>
      <w:pPr>
        <w:ind w:left="4594" w:hanging="1138"/>
      </w:pPr>
      <w:rPr>
        <w:rFonts w:hint="default"/>
      </w:rPr>
    </w:lvl>
    <w:lvl w:ilvl="5">
      <w:numFmt w:val="bullet"/>
      <w:lvlText w:val="•"/>
      <w:lvlJc w:val="left"/>
      <w:pPr>
        <w:ind w:left="5519" w:hanging="1138"/>
      </w:pPr>
      <w:rPr>
        <w:rFonts w:hint="default"/>
      </w:rPr>
    </w:lvl>
    <w:lvl w:ilvl="6">
      <w:numFmt w:val="bullet"/>
      <w:lvlText w:val="•"/>
      <w:lvlJc w:val="left"/>
      <w:pPr>
        <w:ind w:left="6444" w:hanging="1138"/>
      </w:pPr>
      <w:rPr>
        <w:rFonts w:hint="default"/>
      </w:rPr>
    </w:lvl>
    <w:lvl w:ilvl="7">
      <w:numFmt w:val="bullet"/>
      <w:lvlText w:val="•"/>
      <w:lvlJc w:val="left"/>
      <w:pPr>
        <w:ind w:left="7369" w:hanging="1138"/>
      </w:pPr>
      <w:rPr>
        <w:rFonts w:hint="default"/>
      </w:rPr>
    </w:lvl>
    <w:lvl w:ilvl="8">
      <w:numFmt w:val="bullet"/>
      <w:lvlText w:val="•"/>
      <w:lvlJc w:val="left"/>
      <w:pPr>
        <w:ind w:left="8294" w:hanging="1138"/>
      </w:pPr>
      <w:rPr>
        <w:rFonts w:hint="default"/>
      </w:rPr>
    </w:lvl>
  </w:abstractNum>
  <w:abstractNum w:abstractNumId="6" w15:restartNumberingAfterBreak="0">
    <w:nsid w:val="2BBB6E2D"/>
    <w:multiLevelType w:val="hybridMultilevel"/>
    <w:tmpl w:val="173E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E5CAF"/>
    <w:multiLevelType w:val="multilevel"/>
    <w:tmpl w:val="70B8C1C4"/>
    <w:lvl w:ilvl="0">
      <w:start w:val="9"/>
      <w:numFmt w:val="decimal"/>
      <w:lvlText w:val="%1."/>
      <w:lvlJc w:val="left"/>
      <w:pPr>
        <w:ind w:left="1379" w:hanging="1138"/>
      </w:pPr>
      <w:rPr>
        <w:rFonts w:ascii="Arial" w:eastAsia="Arial" w:hAnsi="Arial" w:cs="Arial" w:hint="default"/>
        <w:b/>
        <w:bCs/>
        <w:color w:val="006FC0"/>
        <w:spacing w:val="-1"/>
        <w:w w:val="99"/>
        <w:sz w:val="29"/>
        <w:szCs w:val="29"/>
      </w:rPr>
    </w:lvl>
    <w:lvl w:ilvl="1">
      <w:start w:val="1"/>
      <w:numFmt w:val="decimal"/>
      <w:lvlText w:val="%1.%2."/>
      <w:lvlJc w:val="left"/>
      <w:pPr>
        <w:ind w:left="1379" w:hanging="1138"/>
      </w:pPr>
      <w:rPr>
        <w:rFonts w:hint="default"/>
        <w:b w:val="0"/>
        <w:bCs/>
        <w:color w:val="auto"/>
        <w:spacing w:val="-6"/>
        <w:w w:val="99"/>
        <w:sz w:val="24"/>
        <w:szCs w:val="18"/>
      </w:rPr>
    </w:lvl>
    <w:lvl w:ilvl="2">
      <w:start w:val="1"/>
      <w:numFmt w:val="lowerLetter"/>
      <w:lvlText w:val="%3)"/>
      <w:lvlJc w:val="left"/>
      <w:pPr>
        <w:ind w:left="1828" w:hanging="1138"/>
      </w:pPr>
      <w:rPr>
        <w:rFonts w:ascii="Arial" w:eastAsia="Arial" w:hAnsi="Arial" w:cs="Arial" w:hint="default"/>
        <w:color w:val="auto"/>
        <w:spacing w:val="-6"/>
        <w:w w:val="99"/>
        <w:sz w:val="24"/>
        <w:szCs w:val="24"/>
      </w:rPr>
    </w:lvl>
    <w:lvl w:ilvl="3">
      <w:numFmt w:val="bullet"/>
      <w:lvlText w:val="•"/>
      <w:lvlJc w:val="left"/>
      <w:pPr>
        <w:ind w:left="3669" w:hanging="1138"/>
      </w:pPr>
      <w:rPr>
        <w:rFonts w:hint="default"/>
      </w:rPr>
    </w:lvl>
    <w:lvl w:ilvl="4">
      <w:numFmt w:val="bullet"/>
      <w:lvlText w:val="•"/>
      <w:lvlJc w:val="left"/>
      <w:pPr>
        <w:ind w:left="4594" w:hanging="1138"/>
      </w:pPr>
      <w:rPr>
        <w:rFonts w:hint="default"/>
      </w:rPr>
    </w:lvl>
    <w:lvl w:ilvl="5">
      <w:numFmt w:val="bullet"/>
      <w:lvlText w:val="•"/>
      <w:lvlJc w:val="left"/>
      <w:pPr>
        <w:ind w:left="5519" w:hanging="1138"/>
      </w:pPr>
      <w:rPr>
        <w:rFonts w:hint="default"/>
      </w:rPr>
    </w:lvl>
    <w:lvl w:ilvl="6">
      <w:numFmt w:val="bullet"/>
      <w:lvlText w:val="•"/>
      <w:lvlJc w:val="left"/>
      <w:pPr>
        <w:ind w:left="6444" w:hanging="1138"/>
      </w:pPr>
      <w:rPr>
        <w:rFonts w:hint="default"/>
      </w:rPr>
    </w:lvl>
    <w:lvl w:ilvl="7">
      <w:numFmt w:val="bullet"/>
      <w:lvlText w:val="•"/>
      <w:lvlJc w:val="left"/>
      <w:pPr>
        <w:ind w:left="7369" w:hanging="1138"/>
      </w:pPr>
      <w:rPr>
        <w:rFonts w:hint="default"/>
      </w:rPr>
    </w:lvl>
    <w:lvl w:ilvl="8">
      <w:numFmt w:val="bullet"/>
      <w:lvlText w:val="•"/>
      <w:lvlJc w:val="left"/>
      <w:pPr>
        <w:ind w:left="8294" w:hanging="1138"/>
      </w:pPr>
      <w:rPr>
        <w:rFonts w:hint="default"/>
      </w:rPr>
    </w:lvl>
  </w:abstractNum>
  <w:abstractNum w:abstractNumId="8" w15:restartNumberingAfterBreak="0">
    <w:nsid w:val="31D60BCA"/>
    <w:multiLevelType w:val="multilevel"/>
    <w:tmpl w:val="56603622"/>
    <w:lvl w:ilvl="0">
      <w:start w:val="1"/>
      <w:numFmt w:val="bullet"/>
      <w:lvlText w:val=""/>
      <w:lvlJc w:val="left"/>
      <w:pPr>
        <w:tabs>
          <w:tab w:val="num" w:pos="567"/>
        </w:tabs>
        <w:ind w:left="851" w:hanging="284"/>
      </w:pPr>
      <w:rPr>
        <w:rFonts w:ascii="Symbol" w:hAnsi="Symbol" w:hint="default"/>
        <w:color w:val="auto"/>
      </w:rPr>
    </w:lvl>
    <w:lvl w:ilvl="1">
      <w:start w:val="1"/>
      <w:numFmt w:val="bullet"/>
      <w:lvlText w:val="‒"/>
      <w:lvlJc w:val="left"/>
      <w:pPr>
        <w:tabs>
          <w:tab w:val="num" w:pos="1134"/>
        </w:tabs>
        <w:ind w:left="1134" w:hanging="283"/>
      </w:pPr>
      <w:rPr>
        <w:rFonts w:ascii="Arial" w:hAnsi="Arial" w:hint="default"/>
        <w:color w:val="005EB8"/>
      </w:rPr>
    </w:lvl>
    <w:lvl w:ilvl="2">
      <w:start w:val="1"/>
      <w:numFmt w:val="bullet"/>
      <w:lvlText w:val=""/>
      <w:lvlJc w:val="left"/>
      <w:pPr>
        <w:tabs>
          <w:tab w:val="num" w:pos="1072"/>
        </w:tabs>
        <w:ind w:left="1043" w:hanging="329"/>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color w:val="auto"/>
      </w:rPr>
    </w:lvl>
    <w:lvl w:ilvl="4">
      <w:start w:val="1"/>
      <w:numFmt w:val="bullet"/>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100D08"/>
    <w:multiLevelType w:val="hybridMultilevel"/>
    <w:tmpl w:val="44E8E4B6"/>
    <w:lvl w:ilvl="0" w:tplc="4C5CE78A">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3D8966D7"/>
    <w:multiLevelType w:val="hybridMultilevel"/>
    <w:tmpl w:val="8C92466C"/>
    <w:lvl w:ilvl="0" w:tplc="4C5CE7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F123C"/>
    <w:multiLevelType w:val="hybridMultilevel"/>
    <w:tmpl w:val="7864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F5C25"/>
    <w:multiLevelType w:val="multilevel"/>
    <w:tmpl w:val="D0E8F96C"/>
    <w:lvl w:ilvl="0">
      <w:start w:val="1"/>
      <w:numFmt w:val="bullet"/>
      <w:lvlText w:val=""/>
      <w:lvlJc w:val="left"/>
      <w:pPr>
        <w:tabs>
          <w:tab w:val="num" w:pos="567"/>
        </w:tabs>
        <w:ind w:left="851" w:hanging="284"/>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072"/>
        </w:tabs>
        <w:ind w:left="1043" w:hanging="329"/>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color w:val="auto"/>
      </w:rPr>
    </w:lvl>
    <w:lvl w:ilvl="4">
      <w:start w:val="1"/>
      <w:numFmt w:val="bullet"/>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603849"/>
    <w:multiLevelType w:val="multilevel"/>
    <w:tmpl w:val="3D08CF68"/>
    <w:numStyleLink w:val="NHSBullets"/>
  </w:abstractNum>
  <w:abstractNum w:abstractNumId="14" w15:restartNumberingAfterBreak="0">
    <w:nsid w:val="4D795EF9"/>
    <w:multiLevelType w:val="hybridMultilevel"/>
    <w:tmpl w:val="5E5683A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5" w15:restartNumberingAfterBreak="0">
    <w:nsid w:val="50BD2EEC"/>
    <w:multiLevelType w:val="multilevel"/>
    <w:tmpl w:val="080AB9A2"/>
    <w:lvl w:ilvl="0">
      <w:start w:val="6"/>
      <w:numFmt w:val="decimal"/>
      <w:lvlText w:val="%1."/>
      <w:lvlJc w:val="left"/>
      <w:pPr>
        <w:ind w:left="1379" w:hanging="1138"/>
      </w:pPr>
      <w:rPr>
        <w:rFonts w:ascii="Arial" w:eastAsia="Arial" w:hAnsi="Arial" w:cs="Arial" w:hint="default"/>
        <w:b/>
        <w:bCs/>
        <w:color w:val="006FC0"/>
        <w:spacing w:val="-1"/>
        <w:w w:val="99"/>
        <w:sz w:val="29"/>
        <w:szCs w:val="29"/>
      </w:rPr>
    </w:lvl>
    <w:lvl w:ilvl="1">
      <w:start w:val="1"/>
      <w:numFmt w:val="decimal"/>
      <w:lvlText w:val="%1.%2."/>
      <w:lvlJc w:val="left"/>
      <w:pPr>
        <w:ind w:left="1318" w:hanging="1138"/>
      </w:pPr>
      <w:rPr>
        <w:rFonts w:hint="default"/>
        <w:b w:val="0"/>
        <w:bCs/>
        <w:color w:val="auto"/>
        <w:spacing w:val="-6"/>
        <w:w w:val="99"/>
        <w:sz w:val="24"/>
        <w:szCs w:val="18"/>
      </w:rPr>
    </w:lvl>
    <w:lvl w:ilvl="2">
      <w:start w:val="1"/>
      <w:numFmt w:val="lowerLetter"/>
      <w:lvlText w:val="%3)"/>
      <w:lvlJc w:val="left"/>
      <w:pPr>
        <w:ind w:left="1828" w:hanging="1138"/>
      </w:pPr>
      <w:rPr>
        <w:rFonts w:ascii="Arial" w:eastAsia="Arial" w:hAnsi="Arial" w:cs="Arial" w:hint="default"/>
        <w:color w:val="auto"/>
        <w:spacing w:val="-6"/>
        <w:w w:val="99"/>
        <w:sz w:val="24"/>
        <w:szCs w:val="24"/>
      </w:rPr>
    </w:lvl>
    <w:lvl w:ilvl="3">
      <w:numFmt w:val="bullet"/>
      <w:lvlText w:val="•"/>
      <w:lvlJc w:val="left"/>
      <w:pPr>
        <w:ind w:left="3669" w:hanging="1138"/>
      </w:pPr>
      <w:rPr>
        <w:rFonts w:hint="default"/>
        <w:color w:val="FFFFFF" w:themeColor="background1"/>
      </w:rPr>
    </w:lvl>
    <w:lvl w:ilvl="4">
      <w:numFmt w:val="bullet"/>
      <w:lvlText w:val="•"/>
      <w:lvlJc w:val="left"/>
      <w:pPr>
        <w:ind w:left="4594" w:hanging="1138"/>
      </w:pPr>
      <w:rPr>
        <w:rFonts w:hint="default"/>
      </w:rPr>
    </w:lvl>
    <w:lvl w:ilvl="5">
      <w:numFmt w:val="bullet"/>
      <w:lvlText w:val="•"/>
      <w:lvlJc w:val="left"/>
      <w:pPr>
        <w:ind w:left="5519" w:hanging="1138"/>
      </w:pPr>
      <w:rPr>
        <w:rFonts w:hint="default"/>
      </w:rPr>
    </w:lvl>
    <w:lvl w:ilvl="6">
      <w:numFmt w:val="bullet"/>
      <w:lvlText w:val="•"/>
      <w:lvlJc w:val="left"/>
      <w:pPr>
        <w:ind w:left="6444" w:hanging="1138"/>
      </w:pPr>
      <w:rPr>
        <w:rFonts w:hint="default"/>
      </w:rPr>
    </w:lvl>
    <w:lvl w:ilvl="7">
      <w:numFmt w:val="bullet"/>
      <w:lvlText w:val="•"/>
      <w:lvlJc w:val="left"/>
      <w:pPr>
        <w:ind w:left="7369" w:hanging="1138"/>
      </w:pPr>
      <w:rPr>
        <w:rFonts w:hint="default"/>
      </w:rPr>
    </w:lvl>
    <w:lvl w:ilvl="8">
      <w:numFmt w:val="bullet"/>
      <w:lvlText w:val="•"/>
      <w:lvlJc w:val="left"/>
      <w:pPr>
        <w:ind w:left="8294" w:hanging="1138"/>
      </w:pPr>
      <w:rPr>
        <w:rFonts w:hint="default"/>
      </w:rPr>
    </w:lvl>
  </w:abstractNum>
  <w:abstractNum w:abstractNumId="16" w15:restartNumberingAfterBreak="0">
    <w:nsid w:val="513230B9"/>
    <w:multiLevelType w:val="hybridMultilevel"/>
    <w:tmpl w:val="C8FE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84D04"/>
    <w:multiLevelType w:val="hybridMultilevel"/>
    <w:tmpl w:val="B5088AA6"/>
    <w:lvl w:ilvl="0" w:tplc="4C5CE78A">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8" w15:restartNumberingAfterBreak="0">
    <w:nsid w:val="60FE4410"/>
    <w:multiLevelType w:val="multilevel"/>
    <w:tmpl w:val="557E4D30"/>
    <w:numStyleLink w:val="NHSHeadings"/>
  </w:abstractNum>
  <w:abstractNum w:abstractNumId="19" w15:restartNumberingAfterBreak="0">
    <w:nsid w:val="613B5930"/>
    <w:multiLevelType w:val="hybridMultilevel"/>
    <w:tmpl w:val="AAE239E2"/>
    <w:lvl w:ilvl="0" w:tplc="08090001">
      <w:start w:val="1"/>
      <w:numFmt w:val="bullet"/>
      <w:lvlText w:val=""/>
      <w:lvlJc w:val="left"/>
      <w:pPr>
        <w:ind w:left="1784" w:hanging="360"/>
      </w:pPr>
      <w:rPr>
        <w:rFonts w:ascii="Symbol" w:hAnsi="Symbol" w:hint="default"/>
      </w:rPr>
    </w:lvl>
    <w:lvl w:ilvl="1" w:tplc="08090003">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0" w15:restartNumberingAfterBreak="0">
    <w:nsid w:val="66CB3FE7"/>
    <w:multiLevelType w:val="multilevel"/>
    <w:tmpl w:val="B5224E20"/>
    <w:lvl w:ilvl="0">
      <w:start w:val="1"/>
      <w:numFmt w:val="decimal"/>
      <w:lvlText w:val="%1"/>
      <w:lvlJc w:val="left"/>
      <w:pPr>
        <w:ind w:left="1379" w:hanging="1138"/>
      </w:pPr>
      <w:rPr>
        <w:rFonts w:hint="default"/>
        <w:b/>
        <w:bCs/>
        <w:color w:val="006FC0"/>
        <w:spacing w:val="-1"/>
        <w:w w:val="99"/>
        <w:sz w:val="29"/>
        <w:szCs w:val="29"/>
        <w:lang w:val="en-GB" w:eastAsia="en-GB" w:bidi="en-GB"/>
      </w:rPr>
    </w:lvl>
    <w:lvl w:ilvl="1">
      <w:start w:val="1"/>
      <w:numFmt w:val="decimal"/>
      <w:lvlText w:val="%1.%2"/>
      <w:lvlJc w:val="left"/>
      <w:pPr>
        <w:ind w:left="1379" w:hanging="1138"/>
      </w:pPr>
      <w:rPr>
        <w:rFonts w:hint="default"/>
        <w:b w:val="0"/>
        <w:bCs/>
        <w:color w:val="auto"/>
        <w:spacing w:val="-6"/>
        <w:w w:val="99"/>
        <w:sz w:val="24"/>
        <w:szCs w:val="18"/>
        <w:lang w:val="en-GB" w:eastAsia="en-GB" w:bidi="en-GB"/>
      </w:rPr>
    </w:lvl>
    <w:lvl w:ilvl="2">
      <w:start w:val="1"/>
      <w:numFmt w:val="decimal"/>
      <w:lvlText w:val="%1.%2.%3."/>
      <w:lvlJc w:val="left"/>
      <w:pPr>
        <w:ind w:left="1379" w:hanging="1138"/>
      </w:pPr>
      <w:rPr>
        <w:rFonts w:ascii="Arial" w:eastAsia="Arial" w:hAnsi="Arial" w:cs="Arial" w:hint="default"/>
        <w:color w:val="auto"/>
        <w:spacing w:val="-6"/>
        <w:w w:val="99"/>
        <w:sz w:val="24"/>
        <w:szCs w:val="24"/>
        <w:lang w:val="en-GB" w:eastAsia="en-GB" w:bidi="en-GB"/>
      </w:rPr>
    </w:lvl>
    <w:lvl w:ilvl="3">
      <w:start w:val="1"/>
      <w:numFmt w:val="lowerLetter"/>
      <w:lvlText w:val="%4)"/>
      <w:lvlJc w:val="left"/>
      <w:pPr>
        <w:ind w:left="1828" w:hanging="449"/>
      </w:pPr>
      <w:rPr>
        <w:rFonts w:ascii="Arial" w:eastAsia="Arial" w:hAnsi="Arial" w:cs="Arial" w:hint="default"/>
        <w:spacing w:val="-6"/>
        <w:w w:val="99"/>
        <w:sz w:val="24"/>
        <w:szCs w:val="24"/>
        <w:lang w:val="en-GB" w:eastAsia="en-GB" w:bidi="en-GB"/>
      </w:rPr>
    </w:lvl>
    <w:lvl w:ilvl="4">
      <w:numFmt w:val="bullet"/>
      <w:lvlText w:val="•"/>
      <w:lvlJc w:val="left"/>
      <w:pPr>
        <w:ind w:left="4594" w:hanging="449"/>
      </w:pPr>
      <w:rPr>
        <w:rFonts w:hint="default"/>
        <w:lang w:val="en-GB" w:eastAsia="en-GB" w:bidi="en-GB"/>
      </w:rPr>
    </w:lvl>
    <w:lvl w:ilvl="5">
      <w:numFmt w:val="bullet"/>
      <w:lvlText w:val="•"/>
      <w:lvlJc w:val="left"/>
      <w:pPr>
        <w:ind w:left="5519" w:hanging="449"/>
      </w:pPr>
      <w:rPr>
        <w:rFonts w:hint="default"/>
        <w:lang w:val="en-GB" w:eastAsia="en-GB" w:bidi="en-GB"/>
      </w:rPr>
    </w:lvl>
    <w:lvl w:ilvl="6">
      <w:numFmt w:val="bullet"/>
      <w:lvlText w:val="•"/>
      <w:lvlJc w:val="left"/>
      <w:pPr>
        <w:ind w:left="6444" w:hanging="449"/>
      </w:pPr>
      <w:rPr>
        <w:rFonts w:hint="default"/>
        <w:lang w:val="en-GB" w:eastAsia="en-GB" w:bidi="en-GB"/>
      </w:rPr>
    </w:lvl>
    <w:lvl w:ilvl="7">
      <w:numFmt w:val="bullet"/>
      <w:lvlText w:val="•"/>
      <w:lvlJc w:val="left"/>
      <w:pPr>
        <w:ind w:left="7369" w:hanging="449"/>
      </w:pPr>
      <w:rPr>
        <w:rFonts w:hint="default"/>
        <w:lang w:val="en-GB" w:eastAsia="en-GB" w:bidi="en-GB"/>
      </w:rPr>
    </w:lvl>
    <w:lvl w:ilvl="8">
      <w:numFmt w:val="bullet"/>
      <w:lvlText w:val="•"/>
      <w:lvlJc w:val="left"/>
      <w:pPr>
        <w:ind w:left="8294" w:hanging="449"/>
      </w:pPr>
      <w:rPr>
        <w:rFonts w:hint="default"/>
        <w:lang w:val="en-GB" w:eastAsia="en-GB" w:bidi="en-GB"/>
      </w:rPr>
    </w:lvl>
  </w:abstractNum>
  <w:abstractNum w:abstractNumId="21" w15:restartNumberingAfterBreak="0">
    <w:nsid w:val="6CDD18FB"/>
    <w:multiLevelType w:val="multilevel"/>
    <w:tmpl w:val="FA9234FE"/>
    <w:lvl w:ilvl="0">
      <w:start w:val="1"/>
      <w:numFmt w:val="decimal"/>
      <w:lvlText w:val="%1."/>
      <w:lvlJc w:val="left"/>
      <w:pPr>
        <w:ind w:left="1379" w:hanging="1138"/>
      </w:pPr>
      <w:rPr>
        <w:rFonts w:ascii="Arial" w:eastAsia="Arial" w:hAnsi="Arial" w:cs="Arial" w:hint="default"/>
        <w:b/>
        <w:bCs/>
        <w:color w:val="006FC0"/>
        <w:spacing w:val="-1"/>
        <w:w w:val="99"/>
        <w:sz w:val="29"/>
        <w:szCs w:val="29"/>
        <w:lang w:val="en-GB" w:eastAsia="en-GB" w:bidi="en-GB"/>
      </w:rPr>
    </w:lvl>
    <w:lvl w:ilvl="1">
      <w:start w:val="1"/>
      <w:numFmt w:val="decimal"/>
      <w:lvlText w:val="%1.%2."/>
      <w:lvlJc w:val="left"/>
      <w:pPr>
        <w:ind w:left="1379" w:hanging="1138"/>
      </w:pPr>
      <w:rPr>
        <w:rFonts w:hint="default"/>
        <w:b w:val="0"/>
        <w:bCs/>
        <w:color w:val="auto"/>
        <w:spacing w:val="-6"/>
        <w:w w:val="99"/>
        <w:sz w:val="24"/>
        <w:szCs w:val="18"/>
        <w:lang w:val="en-GB" w:eastAsia="en-GB" w:bidi="en-GB"/>
      </w:rPr>
    </w:lvl>
    <w:lvl w:ilvl="2">
      <w:start w:val="1"/>
      <w:numFmt w:val="lowerLetter"/>
      <w:lvlText w:val="%3)"/>
      <w:lvlJc w:val="left"/>
      <w:pPr>
        <w:ind w:left="1828" w:hanging="1138"/>
      </w:pPr>
      <w:rPr>
        <w:rFonts w:ascii="Arial" w:eastAsia="Arial" w:hAnsi="Arial" w:cs="Arial" w:hint="default"/>
        <w:color w:val="auto"/>
        <w:spacing w:val="-6"/>
        <w:w w:val="99"/>
        <w:sz w:val="24"/>
        <w:szCs w:val="24"/>
        <w:lang w:val="en-GB" w:eastAsia="en-GB" w:bidi="en-GB"/>
      </w:rPr>
    </w:lvl>
    <w:lvl w:ilvl="3">
      <w:numFmt w:val="bullet"/>
      <w:lvlText w:val="•"/>
      <w:lvlJc w:val="left"/>
      <w:pPr>
        <w:ind w:left="3669" w:hanging="1138"/>
      </w:pPr>
      <w:rPr>
        <w:rFonts w:hint="default"/>
        <w:color w:val="FFFFFF" w:themeColor="background1"/>
        <w:lang w:val="en-GB" w:eastAsia="en-GB" w:bidi="en-GB"/>
      </w:rPr>
    </w:lvl>
    <w:lvl w:ilvl="4">
      <w:numFmt w:val="bullet"/>
      <w:lvlText w:val="•"/>
      <w:lvlJc w:val="left"/>
      <w:pPr>
        <w:ind w:left="4594" w:hanging="1138"/>
      </w:pPr>
      <w:rPr>
        <w:rFonts w:hint="default"/>
        <w:lang w:val="en-GB" w:eastAsia="en-GB" w:bidi="en-GB"/>
      </w:rPr>
    </w:lvl>
    <w:lvl w:ilvl="5">
      <w:numFmt w:val="bullet"/>
      <w:lvlText w:val="•"/>
      <w:lvlJc w:val="left"/>
      <w:pPr>
        <w:ind w:left="5519" w:hanging="1138"/>
      </w:pPr>
      <w:rPr>
        <w:rFonts w:hint="default"/>
        <w:lang w:val="en-GB" w:eastAsia="en-GB" w:bidi="en-GB"/>
      </w:rPr>
    </w:lvl>
    <w:lvl w:ilvl="6">
      <w:numFmt w:val="bullet"/>
      <w:lvlText w:val="•"/>
      <w:lvlJc w:val="left"/>
      <w:pPr>
        <w:ind w:left="6444" w:hanging="1138"/>
      </w:pPr>
      <w:rPr>
        <w:rFonts w:hint="default"/>
        <w:lang w:val="en-GB" w:eastAsia="en-GB" w:bidi="en-GB"/>
      </w:rPr>
    </w:lvl>
    <w:lvl w:ilvl="7">
      <w:numFmt w:val="bullet"/>
      <w:lvlText w:val="•"/>
      <w:lvlJc w:val="left"/>
      <w:pPr>
        <w:ind w:left="7369" w:hanging="1138"/>
      </w:pPr>
      <w:rPr>
        <w:rFonts w:hint="default"/>
        <w:lang w:val="en-GB" w:eastAsia="en-GB" w:bidi="en-GB"/>
      </w:rPr>
    </w:lvl>
    <w:lvl w:ilvl="8">
      <w:numFmt w:val="bullet"/>
      <w:lvlText w:val="•"/>
      <w:lvlJc w:val="left"/>
      <w:pPr>
        <w:ind w:left="8294" w:hanging="1138"/>
      </w:pPr>
      <w:rPr>
        <w:rFonts w:hint="default"/>
        <w:lang w:val="en-GB" w:eastAsia="en-GB" w:bidi="en-GB"/>
      </w:rPr>
    </w:lvl>
  </w:abstractNum>
  <w:num w:numId="1" w16cid:durableId="381946466">
    <w:abstractNumId w:val="0"/>
  </w:num>
  <w:num w:numId="2" w16cid:durableId="136380710">
    <w:abstractNumId w:val="10"/>
  </w:num>
  <w:num w:numId="3" w16cid:durableId="683358038">
    <w:abstractNumId w:val="21"/>
  </w:num>
  <w:num w:numId="4" w16cid:durableId="1708410483">
    <w:abstractNumId w:val="9"/>
  </w:num>
  <w:num w:numId="5" w16cid:durableId="1872381359">
    <w:abstractNumId w:val="17"/>
  </w:num>
  <w:num w:numId="6" w16cid:durableId="1307709526">
    <w:abstractNumId w:val="15"/>
  </w:num>
  <w:num w:numId="7" w16cid:durableId="436098505">
    <w:abstractNumId w:val="7"/>
  </w:num>
  <w:num w:numId="8" w16cid:durableId="1258752353">
    <w:abstractNumId w:val="14"/>
  </w:num>
  <w:num w:numId="9" w16cid:durableId="1679577884">
    <w:abstractNumId w:val="1"/>
  </w:num>
  <w:num w:numId="10" w16cid:durableId="1355032633">
    <w:abstractNumId w:val="19"/>
  </w:num>
  <w:num w:numId="11" w16cid:durableId="970785153">
    <w:abstractNumId w:val="11"/>
  </w:num>
  <w:num w:numId="12" w16cid:durableId="1280725850">
    <w:abstractNumId w:val="5"/>
  </w:num>
  <w:num w:numId="13" w16cid:durableId="388504328">
    <w:abstractNumId w:val="2"/>
  </w:num>
  <w:num w:numId="14" w16cid:durableId="2123919280">
    <w:abstractNumId w:val="18"/>
  </w:num>
  <w:num w:numId="15" w16cid:durableId="182523813">
    <w:abstractNumId w:val="6"/>
  </w:num>
  <w:num w:numId="16" w16cid:durableId="817575609">
    <w:abstractNumId w:val="16"/>
  </w:num>
  <w:num w:numId="17" w16cid:durableId="528105937">
    <w:abstractNumId w:val="4"/>
  </w:num>
  <w:num w:numId="18" w16cid:durableId="1012343740">
    <w:abstractNumId w:val="3"/>
  </w:num>
  <w:num w:numId="19" w16cid:durableId="26761577">
    <w:abstractNumId w:val="13"/>
  </w:num>
  <w:num w:numId="20" w16cid:durableId="1796676192">
    <w:abstractNumId w:val="20"/>
  </w:num>
  <w:num w:numId="21" w16cid:durableId="749230866">
    <w:abstractNumId w:val="8"/>
  </w:num>
  <w:num w:numId="22" w16cid:durableId="417103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B"/>
    <w:rsid w:val="0000176F"/>
    <w:rsid w:val="0000366F"/>
    <w:rsid w:val="00006301"/>
    <w:rsid w:val="00006449"/>
    <w:rsid w:val="00022057"/>
    <w:rsid w:val="00024507"/>
    <w:rsid w:val="00024B21"/>
    <w:rsid w:val="0003195E"/>
    <w:rsid w:val="00032FD4"/>
    <w:rsid w:val="00035A34"/>
    <w:rsid w:val="00036791"/>
    <w:rsid w:val="00043940"/>
    <w:rsid w:val="00045720"/>
    <w:rsid w:val="00045E95"/>
    <w:rsid w:val="0004728F"/>
    <w:rsid w:val="00055210"/>
    <w:rsid w:val="00067300"/>
    <w:rsid w:val="000717EE"/>
    <w:rsid w:val="000804D5"/>
    <w:rsid w:val="0008215B"/>
    <w:rsid w:val="00085E13"/>
    <w:rsid w:val="00086614"/>
    <w:rsid w:val="000955AA"/>
    <w:rsid w:val="00096872"/>
    <w:rsid w:val="0009712A"/>
    <w:rsid w:val="000A034C"/>
    <w:rsid w:val="000A0735"/>
    <w:rsid w:val="000A2703"/>
    <w:rsid w:val="000A2EB4"/>
    <w:rsid w:val="000A3F15"/>
    <w:rsid w:val="000B073F"/>
    <w:rsid w:val="000B3386"/>
    <w:rsid w:val="000B5A99"/>
    <w:rsid w:val="000C0532"/>
    <w:rsid w:val="000C3C13"/>
    <w:rsid w:val="000D0FFA"/>
    <w:rsid w:val="000D260B"/>
    <w:rsid w:val="000D3B61"/>
    <w:rsid w:val="000D7D1E"/>
    <w:rsid w:val="000D7FBA"/>
    <w:rsid w:val="000E0191"/>
    <w:rsid w:val="000E0487"/>
    <w:rsid w:val="000E093E"/>
    <w:rsid w:val="000E0E33"/>
    <w:rsid w:val="000E7432"/>
    <w:rsid w:val="000F1E82"/>
    <w:rsid w:val="000F3DDC"/>
    <w:rsid w:val="000F61E5"/>
    <w:rsid w:val="001013A5"/>
    <w:rsid w:val="001062DC"/>
    <w:rsid w:val="00106C0F"/>
    <w:rsid w:val="00113C45"/>
    <w:rsid w:val="00115084"/>
    <w:rsid w:val="00115CF9"/>
    <w:rsid w:val="0012087D"/>
    <w:rsid w:val="0013021E"/>
    <w:rsid w:val="00130473"/>
    <w:rsid w:val="00133950"/>
    <w:rsid w:val="00141F85"/>
    <w:rsid w:val="0014216D"/>
    <w:rsid w:val="0014348F"/>
    <w:rsid w:val="0014777E"/>
    <w:rsid w:val="00151BDE"/>
    <w:rsid w:val="00151C3E"/>
    <w:rsid w:val="00154191"/>
    <w:rsid w:val="001548BD"/>
    <w:rsid w:val="00155B46"/>
    <w:rsid w:val="00156859"/>
    <w:rsid w:val="00157C25"/>
    <w:rsid w:val="00157E4B"/>
    <w:rsid w:val="00161FEC"/>
    <w:rsid w:val="00166A5B"/>
    <w:rsid w:val="001707CA"/>
    <w:rsid w:val="00171581"/>
    <w:rsid w:val="001733C6"/>
    <w:rsid w:val="00175762"/>
    <w:rsid w:val="00177782"/>
    <w:rsid w:val="00180C6F"/>
    <w:rsid w:val="00182123"/>
    <w:rsid w:val="001846B5"/>
    <w:rsid w:val="00186E8E"/>
    <w:rsid w:val="001A3C86"/>
    <w:rsid w:val="001B0D06"/>
    <w:rsid w:val="001B27E6"/>
    <w:rsid w:val="001B2B54"/>
    <w:rsid w:val="001B3B1D"/>
    <w:rsid w:val="001B4C50"/>
    <w:rsid w:val="001B4E3F"/>
    <w:rsid w:val="001C3C4B"/>
    <w:rsid w:val="001D2C2F"/>
    <w:rsid w:val="001D5CC8"/>
    <w:rsid w:val="001E06DA"/>
    <w:rsid w:val="001E2C1B"/>
    <w:rsid w:val="001E51FF"/>
    <w:rsid w:val="001E5F64"/>
    <w:rsid w:val="001E79FC"/>
    <w:rsid w:val="001F0823"/>
    <w:rsid w:val="001F4210"/>
    <w:rsid w:val="001F606B"/>
    <w:rsid w:val="00205BD5"/>
    <w:rsid w:val="00205CAB"/>
    <w:rsid w:val="00215F40"/>
    <w:rsid w:val="00224A3E"/>
    <w:rsid w:val="0022716D"/>
    <w:rsid w:val="00230035"/>
    <w:rsid w:val="00231395"/>
    <w:rsid w:val="002313D2"/>
    <w:rsid w:val="00231925"/>
    <w:rsid w:val="0023291F"/>
    <w:rsid w:val="00242EBA"/>
    <w:rsid w:val="00243A8F"/>
    <w:rsid w:val="00244A18"/>
    <w:rsid w:val="0024502F"/>
    <w:rsid w:val="0025188D"/>
    <w:rsid w:val="00252DEB"/>
    <w:rsid w:val="002547C8"/>
    <w:rsid w:val="0025554C"/>
    <w:rsid w:val="002577D4"/>
    <w:rsid w:val="00262721"/>
    <w:rsid w:val="0027198B"/>
    <w:rsid w:val="00273B96"/>
    <w:rsid w:val="00273E83"/>
    <w:rsid w:val="00273F0A"/>
    <w:rsid w:val="0028071A"/>
    <w:rsid w:val="002841BB"/>
    <w:rsid w:val="00284545"/>
    <w:rsid w:val="002857CC"/>
    <w:rsid w:val="00285F9C"/>
    <w:rsid w:val="00287E7F"/>
    <w:rsid w:val="002908AB"/>
    <w:rsid w:val="00295AE4"/>
    <w:rsid w:val="002A3BDE"/>
    <w:rsid w:val="002A3E51"/>
    <w:rsid w:val="002A6A14"/>
    <w:rsid w:val="002B03EB"/>
    <w:rsid w:val="002B2226"/>
    <w:rsid w:val="002C0687"/>
    <w:rsid w:val="002C0755"/>
    <w:rsid w:val="002C11B8"/>
    <w:rsid w:val="002C1F91"/>
    <w:rsid w:val="002C264E"/>
    <w:rsid w:val="002C2FA9"/>
    <w:rsid w:val="002C4684"/>
    <w:rsid w:val="002C5843"/>
    <w:rsid w:val="002C7B28"/>
    <w:rsid w:val="002E2B71"/>
    <w:rsid w:val="002E6D89"/>
    <w:rsid w:val="002F0F72"/>
    <w:rsid w:val="002F1CB2"/>
    <w:rsid w:val="002F4645"/>
    <w:rsid w:val="002F50DA"/>
    <w:rsid w:val="002F7034"/>
    <w:rsid w:val="003008C1"/>
    <w:rsid w:val="003078D9"/>
    <w:rsid w:val="00310678"/>
    <w:rsid w:val="00311827"/>
    <w:rsid w:val="0031365D"/>
    <w:rsid w:val="00314704"/>
    <w:rsid w:val="00314D6E"/>
    <w:rsid w:val="00315872"/>
    <w:rsid w:val="00317558"/>
    <w:rsid w:val="00333388"/>
    <w:rsid w:val="00333B5C"/>
    <w:rsid w:val="00334BC0"/>
    <w:rsid w:val="00336FF5"/>
    <w:rsid w:val="00340AE0"/>
    <w:rsid w:val="00342940"/>
    <w:rsid w:val="003434E7"/>
    <w:rsid w:val="00344819"/>
    <w:rsid w:val="003509C8"/>
    <w:rsid w:val="00350F12"/>
    <w:rsid w:val="00351AD9"/>
    <w:rsid w:val="00351E7C"/>
    <w:rsid w:val="00352A87"/>
    <w:rsid w:val="0035409B"/>
    <w:rsid w:val="00356772"/>
    <w:rsid w:val="00356ADF"/>
    <w:rsid w:val="0035755A"/>
    <w:rsid w:val="003659D9"/>
    <w:rsid w:val="003716F1"/>
    <w:rsid w:val="0037317B"/>
    <w:rsid w:val="00374098"/>
    <w:rsid w:val="003806E3"/>
    <w:rsid w:val="00380CAD"/>
    <w:rsid w:val="003817CD"/>
    <w:rsid w:val="00384AB7"/>
    <w:rsid w:val="0038500A"/>
    <w:rsid w:val="003868BD"/>
    <w:rsid w:val="00387DF6"/>
    <w:rsid w:val="003A35D4"/>
    <w:rsid w:val="003A46AB"/>
    <w:rsid w:val="003B246E"/>
    <w:rsid w:val="003B274D"/>
    <w:rsid w:val="003B7A18"/>
    <w:rsid w:val="003C06C0"/>
    <w:rsid w:val="003C1213"/>
    <w:rsid w:val="003C1C32"/>
    <w:rsid w:val="003C2F2A"/>
    <w:rsid w:val="003C783F"/>
    <w:rsid w:val="003D0CF0"/>
    <w:rsid w:val="003D6B78"/>
    <w:rsid w:val="003E1490"/>
    <w:rsid w:val="003E1A66"/>
    <w:rsid w:val="003E2BB7"/>
    <w:rsid w:val="003E365C"/>
    <w:rsid w:val="003E478D"/>
    <w:rsid w:val="003F0247"/>
    <w:rsid w:val="003F28C8"/>
    <w:rsid w:val="00401C89"/>
    <w:rsid w:val="00403B9D"/>
    <w:rsid w:val="00406A83"/>
    <w:rsid w:val="004104EE"/>
    <w:rsid w:val="004119AD"/>
    <w:rsid w:val="004148C8"/>
    <w:rsid w:val="00415C1B"/>
    <w:rsid w:val="004174C1"/>
    <w:rsid w:val="0043132B"/>
    <w:rsid w:val="004314B4"/>
    <w:rsid w:val="00431836"/>
    <w:rsid w:val="004330A1"/>
    <w:rsid w:val="00435B88"/>
    <w:rsid w:val="00447982"/>
    <w:rsid w:val="0045063F"/>
    <w:rsid w:val="00453B75"/>
    <w:rsid w:val="0045542D"/>
    <w:rsid w:val="00455EFF"/>
    <w:rsid w:val="0046014C"/>
    <w:rsid w:val="004635AB"/>
    <w:rsid w:val="00463D2F"/>
    <w:rsid w:val="00463D7D"/>
    <w:rsid w:val="00487662"/>
    <w:rsid w:val="004903C5"/>
    <w:rsid w:val="00493C04"/>
    <w:rsid w:val="0049420D"/>
    <w:rsid w:val="004A2801"/>
    <w:rsid w:val="004A6594"/>
    <w:rsid w:val="004C19EC"/>
    <w:rsid w:val="004C394A"/>
    <w:rsid w:val="004C4D4F"/>
    <w:rsid w:val="004D18D7"/>
    <w:rsid w:val="004D24E8"/>
    <w:rsid w:val="004D4F26"/>
    <w:rsid w:val="004E2BDD"/>
    <w:rsid w:val="004E6350"/>
    <w:rsid w:val="004F6C4B"/>
    <w:rsid w:val="004F7B3C"/>
    <w:rsid w:val="0050296F"/>
    <w:rsid w:val="00503A07"/>
    <w:rsid w:val="00507AFC"/>
    <w:rsid w:val="00510814"/>
    <w:rsid w:val="0051440D"/>
    <w:rsid w:val="0051798A"/>
    <w:rsid w:val="005257AF"/>
    <w:rsid w:val="00525EE0"/>
    <w:rsid w:val="005273FC"/>
    <w:rsid w:val="00533411"/>
    <w:rsid w:val="00536627"/>
    <w:rsid w:val="00540B15"/>
    <w:rsid w:val="00541BC6"/>
    <w:rsid w:val="00542CB8"/>
    <w:rsid w:val="005512C1"/>
    <w:rsid w:val="00551602"/>
    <w:rsid w:val="00556150"/>
    <w:rsid w:val="0057356C"/>
    <w:rsid w:val="005768C6"/>
    <w:rsid w:val="005815D7"/>
    <w:rsid w:val="00583271"/>
    <w:rsid w:val="00585E73"/>
    <w:rsid w:val="00586D0B"/>
    <w:rsid w:val="00592636"/>
    <w:rsid w:val="00593418"/>
    <w:rsid w:val="0059508E"/>
    <w:rsid w:val="00595832"/>
    <w:rsid w:val="005971C0"/>
    <w:rsid w:val="005A049A"/>
    <w:rsid w:val="005A0DEF"/>
    <w:rsid w:val="005A7129"/>
    <w:rsid w:val="005B0769"/>
    <w:rsid w:val="005B21FE"/>
    <w:rsid w:val="005B3757"/>
    <w:rsid w:val="005B46B1"/>
    <w:rsid w:val="005B5E72"/>
    <w:rsid w:val="005C1A21"/>
    <w:rsid w:val="005C3EA2"/>
    <w:rsid w:val="005C6A0B"/>
    <w:rsid w:val="005C7838"/>
    <w:rsid w:val="005D5223"/>
    <w:rsid w:val="005D6D1A"/>
    <w:rsid w:val="005D70B7"/>
    <w:rsid w:val="005E0877"/>
    <w:rsid w:val="005F3E0D"/>
    <w:rsid w:val="00604DE7"/>
    <w:rsid w:val="00605B01"/>
    <w:rsid w:val="006121EC"/>
    <w:rsid w:val="006124E8"/>
    <w:rsid w:val="006134DB"/>
    <w:rsid w:val="0061514E"/>
    <w:rsid w:val="00620F3E"/>
    <w:rsid w:val="00622BA5"/>
    <w:rsid w:val="00625C0B"/>
    <w:rsid w:val="00631591"/>
    <w:rsid w:val="006320BD"/>
    <w:rsid w:val="0063263E"/>
    <w:rsid w:val="00636245"/>
    <w:rsid w:val="00637EC7"/>
    <w:rsid w:val="0064352A"/>
    <w:rsid w:val="00645408"/>
    <w:rsid w:val="00645DF5"/>
    <w:rsid w:val="006524D8"/>
    <w:rsid w:val="00653372"/>
    <w:rsid w:val="00653FA7"/>
    <w:rsid w:val="00654A7C"/>
    <w:rsid w:val="00656888"/>
    <w:rsid w:val="00656F7A"/>
    <w:rsid w:val="00657023"/>
    <w:rsid w:val="00664E9C"/>
    <w:rsid w:val="00665873"/>
    <w:rsid w:val="00665B14"/>
    <w:rsid w:val="00670DA5"/>
    <w:rsid w:val="00671111"/>
    <w:rsid w:val="006720F9"/>
    <w:rsid w:val="00675C0A"/>
    <w:rsid w:val="00675F1B"/>
    <w:rsid w:val="006762B7"/>
    <w:rsid w:val="0068194E"/>
    <w:rsid w:val="006830D5"/>
    <w:rsid w:val="0068794B"/>
    <w:rsid w:val="00687D71"/>
    <w:rsid w:val="00691E80"/>
    <w:rsid w:val="00692F7C"/>
    <w:rsid w:val="006931D4"/>
    <w:rsid w:val="006937DA"/>
    <w:rsid w:val="006A0B2B"/>
    <w:rsid w:val="006A11A8"/>
    <w:rsid w:val="006A1B13"/>
    <w:rsid w:val="006A5443"/>
    <w:rsid w:val="006B0DCA"/>
    <w:rsid w:val="006B3736"/>
    <w:rsid w:val="006B3D9E"/>
    <w:rsid w:val="006B3FE2"/>
    <w:rsid w:val="006B46F8"/>
    <w:rsid w:val="006B6B8A"/>
    <w:rsid w:val="006B6CEE"/>
    <w:rsid w:val="006C0402"/>
    <w:rsid w:val="006C1458"/>
    <w:rsid w:val="006C1905"/>
    <w:rsid w:val="006C6205"/>
    <w:rsid w:val="006C6FB5"/>
    <w:rsid w:val="006D0585"/>
    <w:rsid w:val="006D27AF"/>
    <w:rsid w:val="006D3D74"/>
    <w:rsid w:val="006D3DE5"/>
    <w:rsid w:val="006D4FD6"/>
    <w:rsid w:val="006D6137"/>
    <w:rsid w:val="006E1002"/>
    <w:rsid w:val="006E1428"/>
    <w:rsid w:val="006E2B00"/>
    <w:rsid w:val="006E437E"/>
    <w:rsid w:val="006E4861"/>
    <w:rsid w:val="006E7877"/>
    <w:rsid w:val="006F08D9"/>
    <w:rsid w:val="006F3571"/>
    <w:rsid w:val="006F42E5"/>
    <w:rsid w:val="006F4586"/>
    <w:rsid w:val="0070050E"/>
    <w:rsid w:val="00702F66"/>
    <w:rsid w:val="007044AB"/>
    <w:rsid w:val="00707190"/>
    <w:rsid w:val="0071147C"/>
    <w:rsid w:val="00711551"/>
    <w:rsid w:val="007138A7"/>
    <w:rsid w:val="00715F8D"/>
    <w:rsid w:val="00720BA3"/>
    <w:rsid w:val="00721F6D"/>
    <w:rsid w:val="007242F5"/>
    <w:rsid w:val="0072777C"/>
    <w:rsid w:val="00740F09"/>
    <w:rsid w:val="007410AF"/>
    <w:rsid w:val="007410F1"/>
    <w:rsid w:val="007465AE"/>
    <w:rsid w:val="00750F2D"/>
    <w:rsid w:val="00752DAD"/>
    <w:rsid w:val="00753330"/>
    <w:rsid w:val="0075536F"/>
    <w:rsid w:val="0075547F"/>
    <w:rsid w:val="007575ED"/>
    <w:rsid w:val="0075764A"/>
    <w:rsid w:val="00760883"/>
    <w:rsid w:val="007627D4"/>
    <w:rsid w:val="00762D5A"/>
    <w:rsid w:val="00772D44"/>
    <w:rsid w:val="00775F07"/>
    <w:rsid w:val="00776E17"/>
    <w:rsid w:val="00776E5E"/>
    <w:rsid w:val="00781AED"/>
    <w:rsid w:val="00783DE2"/>
    <w:rsid w:val="0078562B"/>
    <w:rsid w:val="007866EB"/>
    <w:rsid w:val="00794385"/>
    <w:rsid w:val="00795685"/>
    <w:rsid w:val="007A2A82"/>
    <w:rsid w:val="007A376B"/>
    <w:rsid w:val="007B1A7C"/>
    <w:rsid w:val="007B1E0D"/>
    <w:rsid w:val="007B32E6"/>
    <w:rsid w:val="007B5333"/>
    <w:rsid w:val="007B5C09"/>
    <w:rsid w:val="007B64AC"/>
    <w:rsid w:val="007B6906"/>
    <w:rsid w:val="007C308F"/>
    <w:rsid w:val="007D2964"/>
    <w:rsid w:val="007D554E"/>
    <w:rsid w:val="007E0122"/>
    <w:rsid w:val="007E0D18"/>
    <w:rsid w:val="007E0D44"/>
    <w:rsid w:val="007E25D9"/>
    <w:rsid w:val="007E2EF5"/>
    <w:rsid w:val="007E3F10"/>
    <w:rsid w:val="007E44C1"/>
    <w:rsid w:val="007E578D"/>
    <w:rsid w:val="007E7D70"/>
    <w:rsid w:val="007E7EAE"/>
    <w:rsid w:val="007F0001"/>
    <w:rsid w:val="007F0897"/>
    <w:rsid w:val="007F5B3B"/>
    <w:rsid w:val="00800305"/>
    <w:rsid w:val="008010DE"/>
    <w:rsid w:val="00804109"/>
    <w:rsid w:val="008103A3"/>
    <w:rsid w:val="008167FB"/>
    <w:rsid w:val="008170FF"/>
    <w:rsid w:val="008179DF"/>
    <w:rsid w:val="00821063"/>
    <w:rsid w:val="00830D36"/>
    <w:rsid w:val="008324EF"/>
    <w:rsid w:val="00832677"/>
    <w:rsid w:val="008332B5"/>
    <w:rsid w:val="00835F43"/>
    <w:rsid w:val="00843C6D"/>
    <w:rsid w:val="00845DF9"/>
    <w:rsid w:val="00846C85"/>
    <w:rsid w:val="00846E0D"/>
    <w:rsid w:val="008503C5"/>
    <w:rsid w:val="0085236F"/>
    <w:rsid w:val="00852BAA"/>
    <w:rsid w:val="008537CC"/>
    <w:rsid w:val="008557C9"/>
    <w:rsid w:val="00860D11"/>
    <w:rsid w:val="0086274B"/>
    <w:rsid w:val="00867CEA"/>
    <w:rsid w:val="0087680A"/>
    <w:rsid w:val="00877B8E"/>
    <w:rsid w:val="008837F3"/>
    <w:rsid w:val="00890F9B"/>
    <w:rsid w:val="00893E5D"/>
    <w:rsid w:val="00895AE8"/>
    <w:rsid w:val="008A05D6"/>
    <w:rsid w:val="008A651F"/>
    <w:rsid w:val="008B1A96"/>
    <w:rsid w:val="008B466A"/>
    <w:rsid w:val="008B522B"/>
    <w:rsid w:val="008C7456"/>
    <w:rsid w:val="008D05FD"/>
    <w:rsid w:val="008D3D1B"/>
    <w:rsid w:val="008D611A"/>
    <w:rsid w:val="008D776D"/>
    <w:rsid w:val="008E2584"/>
    <w:rsid w:val="008E2AA0"/>
    <w:rsid w:val="008E4ACD"/>
    <w:rsid w:val="008E4CE1"/>
    <w:rsid w:val="008E6A24"/>
    <w:rsid w:val="008E6DA3"/>
    <w:rsid w:val="008E7A49"/>
    <w:rsid w:val="008F08A2"/>
    <w:rsid w:val="008F33A9"/>
    <w:rsid w:val="008F453C"/>
    <w:rsid w:val="008F7275"/>
    <w:rsid w:val="009013B0"/>
    <w:rsid w:val="009042B3"/>
    <w:rsid w:val="00906C10"/>
    <w:rsid w:val="00906C57"/>
    <w:rsid w:val="00907138"/>
    <w:rsid w:val="00910605"/>
    <w:rsid w:val="009127E5"/>
    <w:rsid w:val="0091420A"/>
    <w:rsid w:val="00914A9B"/>
    <w:rsid w:val="009207F0"/>
    <w:rsid w:val="00920C5B"/>
    <w:rsid w:val="00922DEA"/>
    <w:rsid w:val="009252BE"/>
    <w:rsid w:val="0093057A"/>
    <w:rsid w:val="00930C96"/>
    <w:rsid w:val="009320CE"/>
    <w:rsid w:val="00934460"/>
    <w:rsid w:val="009364D7"/>
    <w:rsid w:val="009364FE"/>
    <w:rsid w:val="0093702E"/>
    <w:rsid w:val="009422A8"/>
    <w:rsid w:val="0094351F"/>
    <w:rsid w:val="00943A73"/>
    <w:rsid w:val="009507DE"/>
    <w:rsid w:val="00953EEC"/>
    <w:rsid w:val="00956EB8"/>
    <w:rsid w:val="00956F32"/>
    <w:rsid w:val="00961D9F"/>
    <w:rsid w:val="00962BD8"/>
    <w:rsid w:val="0096655C"/>
    <w:rsid w:val="00966891"/>
    <w:rsid w:val="009674B6"/>
    <w:rsid w:val="009701A9"/>
    <w:rsid w:val="00971FD0"/>
    <w:rsid w:val="009739E3"/>
    <w:rsid w:val="00976B9A"/>
    <w:rsid w:val="00980B57"/>
    <w:rsid w:val="00981910"/>
    <w:rsid w:val="009860C4"/>
    <w:rsid w:val="0099281F"/>
    <w:rsid w:val="00992AE4"/>
    <w:rsid w:val="009A68F7"/>
    <w:rsid w:val="009B58EA"/>
    <w:rsid w:val="009B69E2"/>
    <w:rsid w:val="009C4C32"/>
    <w:rsid w:val="009C597C"/>
    <w:rsid w:val="009D597B"/>
    <w:rsid w:val="009D7DD1"/>
    <w:rsid w:val="009E3DAB"/>
    <w:rsid w:val="009E5ED9"/>
    <w:rsid w:val="009F587F"/>
    <w:rsid w:val="009F6789"/>
    <w:rsid w:val="009F7A9D"/>
    <w:rsid w:val="009F7C45"/>
    <w:rsid w:val="00A01496"/>
    <w:rsid w:val="00A01E01"/>
    <w:rsid w:val="00A056FE"/>
    <w:rsid w:val="00A0609F"/>
    <w:rsid w:val="00A07770"/>
    <w:rsid w:val="00A159B5"/>
    <w:rsid w:val="00A201D8"/>
    <w:rsid w:val="00A215C7"/>
    <w:rsid w:val="00A21772"/>
    <w:rsid w:val="00A24DD2"/>
    <w:rsid w:val="00A2627A"/>
    <w:rsid w:val="00A26E89"/>
    <w:rsid w:val="00A278E7"/>
    <w:rsid w:val="00A36017"/>
    <w:rsid w:val="00A361AA"/>
    <w:rsid w:val="00A4440B"/>
    <w:rsid w:val="00A446E9"/>
    <w:rsid w:val="00A45CC5"/>
    <w:rsid w:val="00A468E8"/>
    <w:rsid w:val="00A54431"/>
    <w:rsid w:val="00A57031"/>
    <w:rsid w:val="00A60102"/>
    <w:rsid w:val="00A60616"/>
    <w:rsid w:val="00A63B99"/>
    <w:rsid w:val="00A70FDA"/>
    <w:rsid w:val="00A7186D"/>
    <w:rsid w:val="00A72F6C"/>
    <w:rsid w:val="00A768DC"/>
    <w:rsid w:val="00A82001"/>
    <w:rsid w:val="00A8211E"/>
    <w:rsid w:val="00A84050"/>
    <w:rsid w:val="00A90A38"/>
    <w:rsid w:val="00A95010"/>
    <w:rsid w:val="00AA73BE"/>
    <w:rsid w:val="00AB3FC0"/>
    <w:rsid w:val="00AB60E2"/>
    <w:rsid w:val="00AB69C3"/>
    <w:rsid w:val="00AC481C"/>
    <w:rsid w:val="00AD1FB1"/>
    <w:rsid w:val="00AD5831"/>
    <w:rsid w:val="00AE1CB9"/>
    <w:rsid w:val="00AE3DDE"/>
    <w:rsid w:val="00AE3FFF"/>
    <w:rsid w:val="00AE7DBA"/>
    <w:rsid w:val="00AF0CB3"/>
    <w:rsid w:val="00AF48B5"/>
    <w:rsid w:val="00AF5B3E"/>
    <w:rsid w:val="00B017BF"/>
    <w:rsid w:val="00B01915"/>
    <w:rsid w:val="00B01EC6"/>
    <w:rsid w:val="00B06550"/>
    <w:rsid w:val="00B0695F"/>
    <w:rsid w:val="00B07996"/>
    <w:rsid w:val="00B11904"/>
    <w:rsid w:val="00B12B70"/>
    <w:rsid w:val="00B137E7"/>
    <w:rsid w:val="00B217A9"/>
    <w:rsid w:val="00B2411C"/>
    <w:rsid w:val="00B246AE"/>
    <w:rsid w:val="00B2470C"/>
    <w:rsid w:val="00B27589"/>
    <w:rsid w:val="00B31E40"/>
    <w:rsid w:val="00B36D7B"/>
    <w:rsid w:val="00B40CCD"/>
    <w:rsid w:val="00B41A69"/>
    <w:rsid w:val="00B43752"/>
    <w:rsid w:val="00B456C9"/>
    <w:rsid w:val="00B50521"/>
    <w:rsid w:val="00B562DC"/>
    <w:rsid w:val="00B573A7"/>
    <w:rsid w:val="00B579A4"/>
    <w:rsid w:val="00B61889"/>
    <w:rsid w:val="00B621D1"/>
    <w:rsid w:val="00B677DE"/>
    <w:rsid w:val="00B707F4"/>
    <w:rsid w:val="00B76778"/>
    <w:rsid w:val="00B771E3"/>
    <w:rsid w:val="00B83ADA"/>
    <w:rsid w:val="00B84A80"/>
    <w:rsid w:val="00B86E2E"/>
    <w:rsid w:val="00B910F5"/>
    <w:rsid w:val="00B952FD"/>
    <w:rsid w:val="00B961E2"/>
    <w:rsid w:val="00B9687D"/>
    <w:rsid w:val="00BA2D01"/>
    <w:rsid w:val="00BA66D1"/>
    <w:rsid w:val="00BB0053"/>
    <w:rsid w:val="00BB41DF"/>
    <w:rsid w:val="00BC03E8"/>
    <w:rsid w:val="00BC1825"/>
    <w:rsid w:val="00BC5069"/>
    <w:rsid w:val="00BD0B11"/>
    <w:rsid w:val="00BD3A79"/>
    <w:rsid w:val="00BE1DB0"/>
    <w:rsid w:val="00BE3B6A"/>
    <w:rsid w:val="00BF4ACE"/>
    <w:rsid w:val="00BF500C"/>
    <w:rsid w:val="00C00C8F"/>
    <w:rsid w:val="00C05BA8"/>
    <w:rsid w:val="00C07074"/>
    <w:rsid w:val="00C12F28"/>
    <w:rsid w:val="00C14561"/>
    <w:rsid w:val="00C1531E"/>
    <w:rsid w:val="00C15AE7"/>
    <w:rsid w:val="00C16A3F"/>
    <w:rsid w:val="00C200E9"/>
    <w:rsid w:val="00C205E4"/>
    <w:rsid w:val="00C22341"/>
    <w:rsid w:val="00C2607D"/>
    <w:rsid w:val="00C277FA"/>
    <w:rsid w:val="00C32620"/>
    <w:rsid w:val="00C329F8"/>
    <w:rsid w:val="00C33C1D"/>
    <w:rsid w:val="00C343A4"/>
    <w:rsid w:val="00C34BE5"/>
    <w:rsid w:val="00C36A5D"/>
    <w:rsid w:val="00C45A4E"/>
    <w:rsid w:val="00C45D3B"/>
    <w:rsid w:val="00C52133"/>
    <w:rsid w:val="00C603F5"/>
    <w:rsid w:val="00C633DB"/>
    <w:rsid w:val="00C64063"/>
    <w:rsid w:val="00C64B5E"/>
    <w:rsid w:val="00C653B3"/>
    <w:rsid w:val="00C664C3"/>
    <w:rsid w:val="00C7035A"/>
    <w:rsid w:val="00C70926"/>
    <w:rsid w:val="00C70B5D"/>
    <w:rsid w:val="00C82060"/>
    <w:rsid w:val="00C879A1"/>
    <w:rsid w:val="00C90E9D"/>
    <w:rsid w:val="00C9268F"/>
    <w:rsid w:val="00C92A6E"/>
    <w:rsid w:val="00CA03B1"/>
    <w:rsid w:val="00CA3FA2"/>
    <w:rsid w:val="00CB19AD"/>
    <w:rsid w:val="00CB3B7D"/>
    <w:rsid w:val="00CB68D4"/>
    <w:rsid w:val="00CC0627"/>
    <w:rsid w:val="00CC1308"/>
    <w:rsid w:val="00CC3DCC"/>
    <w:rsid w:val="00CC77EB"/>
    <w:rsid w:val="00CC78CC"/>
    <w:rsid w:val="00CD02AA"/>
    <w:rsid w:val="00CD4299"/>
    <w:rsid w:val="00CE140D"/>
    <w:rsid w:val="00CE33CE"/>
    <w:rsid w:val="00CE7B83"/>
    <w:rsid w:val="00CF09EE"/>
    <w:rsid w:val="00CF3C94"/>
    <w:rsid w:val="00CF64D5"/>
    <w:rsid w:val="00CF72EB"/>
    <w:rsid w:val="00D0029A"/>
    <w:rsid w:val="00D042ED"/>
    <w:rsid w:val="00D044F7"/>
    <w:rsid w:val="00D06668"/>
    <w:rsid w:val="00D0760E"/>
    <w:rsid w:val="00D10C0C"/>
    <w:rsid w:val="00D126A5"/>
    <w:rsid w:val="00D12CAD"/>
    <w:rsid w:val="00D14F2E"/>
    <w:rsid w:val="00D17D13"/>
    <w:rsid w:val="00D3049C"/>
    <w:rsid w:val="00D30C56"/>
    <w:rsid w:val="00D3175A"/>
    <w:rsid w:val="00D34477"/>
    <w:rsid w:val="00D366BA"/>
    <w:rsid w:val="00D4219C"/>
    <w:rsid w:val="00D43EBD"/>
    <w:rsid w:val="00D4562C"/>
    <w:rsid w:val="00D53AD8"/>
    <w:rsid w:val="00D53B66"/>
    <w:rsid w:val="00D56303"/>
    <w:rsid w:val="00D67793"/>
    <w:rsid w:val="00D75868"/>
    <w:rsid w:val="00D82B8B"/>
    <w:rsid w:val="00D83025"/>
    <w:rsid w:val="00D9404B"/>
    <w:rsid w:val="00DA0004"/>
    <w:rsid w:val="00DA469C"/>
    <w:rsid w:val="00DB5383"/>
    <w:rsid w:val="00DB6F0E"/>
    <w:rsid w:val="00DC1BB9"/>
    <w:rsid w:val="00DD0493"/>
    <w:rsid w:val="00DD1737"/>
    <w:rsid w:val="00DD1D23"/>
    <w:rsid w:val="00DD2D97"/>
    <w:rsid w:val="00DD417D"/>
    <w:rsid w:val="00DD6894"/>
    <w:rsid w:val="00DE24D4"/>
    <w:rsid w:val="00DE35A8"/>
    <w:rsid w:val="00DE3E92"/>
    <w:rsid w:val="00DF2092"/>
    <w:rsid w:val="00DF297B"/>
    <w:rsid w:val="00DF2A5D"/>
    <w:rsid w:val="00DF3662"/>
    <w:rsid w:val="00E0009D"/>
    <w:rsid w:val="00E018E1"/>
    <w:rsid w:val="00E06EB8"/>
    <w:rsid w:val="00E135B8"/>
    <w:rsid w:val="00E14D31"/>
    <w:rsid w:val="00E17881"/>
    <w:rsid w:val="00E2403C"/>
    <w:rsid w:val="00E26801"/>
    <w:rsid w:val="00E31BD8"/>
    <w:rsid w:val="00E34FF4"/>
    <w:rsid w:val="00E41CC8"/>
    <w:rsid w:val="00E42F75"/>
    <w:rsid w:val="00E44A74"/>
    <w:rsid w:val="00E50D7A"/>
    <w:rsid w:val="00E55A86"/>
    <w:rsid w:val="00E5651F"/>
    <w:rsid w:val="00E57572"/>
    <w:rsid w:val="00E61451"/>
    <w:rsid w:val="00E639AB"/>
    <w:rsid w:val="00E65CE0"/>
    <w:rsid w:val="00E67CC5"/>
    <w:rsid w:val="00E7059D"/>
    <w:rsid w:val="00E7167A"/>
    <w:rsid w:val="00E7697D"/>
    <w:rsid w:val="00E76D02"/>
    <w:rsid w:val="00E814DE"/>
    <w:rsid w:val="00E83294"/>
    <w:rsid w:val="00E841C9"/>
    <w:rsid w:val="00E84F83"/>
    <w:rsid w:val="00E9379A"/>
    <w:rsid w:val="00E95B84"/>
    <w:rsid w:val="00E96351"/>
    <w:rsid w:val="00E9673F"/>
    <w:rsid w:val="00EA1AA4"/>
    <w:rsid w:val="00EA40EA"/>
    <w:rsid w:val="00EA4614"/>
    <w:rsid w:val="00EA7F43"/>
    <w:rsid w:val="00EB191D"/>
    <w:rsid w:val="00EB2109"/>
    <w:rsid w:val="00EB3A7D"/>
    <w:rsid w:val="00EB447A"/>
    <w:rsid w:val="00EB5F32"/>
    <w:rsid w:val="00EB6BEE"/>
    <w:rsid w:val="00EC0922"/>
    <w:rsid w:val="00EC20DA"/>
    <w:rsid w:val="00EC58F9"/>
    <w:rsid w:val="00EC5E3A"/>
    <w:rsid w:val="00EE3BB9"/>
    <w:rsid w:val="00EE3FE3"/>
    <w:rsid w:val="00EE6BCF"/>
    <w:rsid w:val="00F02096"/>
    <w:rsid w:val="00F105BA"/>
    <w:rsid w:val="00F12024"/>
    <w:rsid w:val="00F120BE"/>
    <w:rsid w:val="00F14868"/>
    <w:rsid w:val="00F15444"/>
    <w:rsid w:val="00F160EE"/>
    <w:rsid w:val="00F20611"/>
    <w:rsid w:val="00F2179A"/>
    <w:rsid w:val="00F219B7"/>
    <w:rsid w:val="00F21CE7"/>
    <w:rsid w:val="00F339A3"/>
    <w:rsid w:val="00F35B29"/>
    <w:rsid w:val="00F40DA0"/>
    <w:rsid w:val="00F40EE4"/>
    <w:rsid w:val="00F43DBD"/>
    <w:rsid w:val="00F4609E"/>
    <w:rsid w:val="00F4627E"/>
    <w:rsid w:val="00F462F4"/>
    <w:rsid w:val="00F47940"/>
    <w:rsid w:val="00F56258"/>
    <w:rsid w:val="00F574FD"/>
    <w:rsid w:val="00F60726"/>
    <w:rsid w:val="00F6144C"/>
    <w:rsid w:val="00F63D1F"/>
    <w:rsid w:val="00F6481E"/>
    <w:rsid w:val="00F721EC"/>
    <w:rsid w:val="00F76C3B"/>
    <w:rsid w:val="00F76F52"/>
    <w:rsid w:val="00F7768C"/>
    <w:rsid w:val="00F77B50"/>
    <w:rsid w:val="00F81AC2"/>
    <w:rsid w:val="00F860A7"/>
    <w:rsid w:val="00F90DD4"/>
    <w:rsid w:val="00F9279D"/>
    <w:rsid w:val="00F933B4"/>
    <w:rsid w:val="00F95F5B"/>
    <w:rsid w:val="00F96A7A"/>
    <w:rsid w:val="00F97BC8"/>
    <w:rsid w:val="00FA3EFD"/>
    <w:rsid w:val="00FA4C21"/>
    <w:rsid w:val="00FA5F07"/>
    <w:rsid w:val="00FA7132"/>
    <w:rsid w:val="00FB0DCB"/>
    <w:rsid w:val="00FB1708"/>
    <w:rsid w:val="00FB2FDF"/>
    <w:rsid w:val="00FB3382"/>
    <w:rsid w:val="00FC0923"/>
    <w:rsid w:val="00FC76F9"/>
    <w:rsid w:val="00FC78D7"/>
    <w:rsid w:val="00FD2B74"/>
    <w:rsid w:val="00FD79F6"/>
    <w:rsid w:val="00FE1530"/>
    <w:rsid w:val="00FE1BD1"/>
    <w:rsid w:val="00FE3BCC"/>
    <w:rsid w:val="00FE68C1"/>
    <w:rsid w:val="00FE7DE1"/>
    <w:rsid w:val="00FF01C3"/>
    <w:rsid w:val="00FF2A81"/>
    <w:rsid w:val="00FF4C7D"/>
    <w:rsid w:val="00FF79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A912"/>
  <w15:docId w15:val="{C4802363-BE00-4E58-968B-27D4832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8B"/>
    <w:rPr>
      <w:rFonts w:ascii="Arial" w:eastAsia="Arial" w:hAnsi="Arial" w:cs="Arial"/>
      <w:lang w:val="en-GB" w:eastAsia="en-GB" w:bidi="en-GB"/>
    </w:rPr>
  </w:style>
  <w:style w:type="paragraph" w:styleId="Heading1">
    <w:name w:val="heading 1"/>
    <w:basedOn w:val="Normal"/>
    <w:uiPriority w:val="9"/>
    <w:qFormat/>
    <w:pPr>
      <w:ind w:left="1440"/>
      <w:outlineLvl w:val="0"/>
    </w:pPr>
    <w:rPr>
      <w:b/>
      <w:bCs/>
      <w:sz w:val="24"/>
      <w:szCs w:val="24"/>
    </w:rPr>
  </w:style>
  <w:style w:type="paragraph" w:styleId="Heading2">
    <w:name w:val="heading 2"/>
    <w:basedOn w:val="Normal"/>
    <w:next w:val="Normal"/>
    <w:link w:val="Heading2Char"/>
    <w:uiPriority w:val="9"/>
    <w:semiHidden/>
    <w:unhideWhenUsed/>
    <w:qFormat/>
    <w:rsid w:val="001F60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36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C19EC"/>
    <w:pPr>
      <w:tabs>
        <w:tab w:val="center" w:pos="4513"/>
        <w:tab w:val="right" w:pos="9026"/>
      </w:tabs>
    </w:pPr>
  </w:style>
  <w:style w:type="character" w:customStyle="1" w:styleId="HeaderChar">
    <w:name w:val="Header Char"/>
    <w:basedOn w:val="DefaultParagraphFont"/>
    <w:link w:val="Header"/>
    <w:uiPriority w:val="99"/>
    <w:rsid w:val="004C19EC"/>
    <w:rPr>
      <w:rFonts w:ascii="Arial" w:eastAsia="Arial" w:hAnsi="Arial" w:cs="Arial"/>
      <w:lang w:val="en-GB" w:eastAsia="en-GB" w:bidi="en-GB"/>
    </w:rPr>
  </w:style>
  <w:style w:type="paragraph" w:styleId="Footer">
    <w:name w:val="footer"/>
    <w:basedOn w:val="Normal"/>
    <w:link w:val="FooterChar"/>
    <w:uiPriority w:val="99"/>
    <w:unhideWhenUsed/>
    <w:rsid w:val="004C19EC"/>
    <w:pPr>
      <w:tabs>
        <w:tab w:val="center" w:pos="4513"/>
        <w:tab w:val="right" w:pos="9026"/>
      </w:tabs>
    </w:pPr>
  </w:style>
  <w:style w:type="character" w:customStyle="1" w:styleId="FooterChar">
    <w:name w:val="Footer Char"/>
    <w:basedOn w:val="DefaultParagraphFont"/>
    <w:link w:val="Footer"/>
    <w:uiPriority w:val="99"/>
    <w:rsid w:val="004C19EC"/>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2F0F72"/>
    <w:rPr>
      <w:sz w:val="16"/>
      <w:szCs w:val="16"/>
    </w:rPr>
  </w:style>
  <w:style w:type="paragraph" w:styleId="CommentText">
    <w:name w:val="annotation text"/>
    <w:basedOn w:val="Normal"/>
    <w:link w:val="CommentTextChar"/>
    <w:uiPriority w:val="99"/>
    <w:unhideWhenUsed/>
    <w:rsid w:val="002F0F72"/>
    <w:rPr>
      <w:sz w:val="20"/>
      <w:szCs w:val="20"/>
    </w:rPr>
  </w:style>
  <w:style w:type="character" w:customStyle="1" w:styleId="CommentTextChar">
    <w:name w:val="Comment Text Char"/>
    <w:basedOn w:val="DefaultParagraphFont"/>
    <w:link w:val="CommentText"/>
    <w:uiPriority w:val="99"/>
    <w:rsid w:val="002F0F7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F0F72"/>
    <w:rPr>
      <w:b/>
      <w:bCs/>
    </w:rPr>
  </w:style>
  <w:style w:type="character" w:customStyle="1" w:styleId="CommentSubjectChar">
    <w:name w:val="Comment Subject Char"/>
    <w:basedOn w:val="CommentTextChar"/>
    <w:link w:val="CommentSubject"/>
    <w:uiPriority w:val="99"/>
    <w:semiHidden/>
    <w:rsid w:val="002F0F7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F0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72"/>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DF3662"/>
    <w:rPr>
      <w:color w:val="0000FF" w:themeColor="hyperlink"/>
      <w:u w:val="single"/>
    </w:rPr>
  </w:style>
  <w:style w:type="character" w:customStyle="1" w:styleId="UnresolvedMention1">
    <w:name w:val="Unresolved Mention1"/>
    <w:basedOn w:val="DefaultParagraphFont"/>
    <w:uiPriority w:val="99"/>
    <w:semiHidden/>
    <w:unhideWhenUsed/>
    <w:rsid w:val="00DF3662"/>
    <w:rPr>
      <w:color w:val="605E5C"/>
      <w:shd w:val="clear" w:color="auto" w:fill="E1DFDD"/>
    </w:rPr>
  </w:style>
  <w:style w:type="character" w:customStyle="1" w:styleId="Heading3Char">
    <w:name w:val="Heading 3 Char"/>
    <w:basedOn w:val="DefaultParagraphFont"/>
    <w:link w:val="Heading3"/>
    <w:uiPriority w:val="9"/>
    <w:semiHidden/>
    <w:rsid w:val="00DF3662"/>
    <w:rPr>
      <w:rFonts w:asciiTheme="majorHAnsi" w:eastAsiaTheme="majorEastAsia" w:hAnsiTheme="majorHAnsi" w:cstheme="majorBidi"/>
      <w:color w:val="243F60" w:themeColor="accent1" w:themeShade="7F"/>
      <w:sz w:val="24"/>
      <w:szCs w:val="24"/>
      <w:lang w:val="en-GB" w:eastAsia="en-GB" w:bidi="en-GB"/>
    </w:rPr>
  </w:style>
  <w:style w:type="character" w:styleId="FollowedHyperlink">
    <w:name w:val="FollowedHyperlink"/>
    <w:basedOn w:val="DefaultParagraphFont"/>
    <w:uiPriority w:val="99"/>
    <w:semiHidden/>
    <w:unhideWhenUsed/>
    <w:rsid w:val="00D9404B"/>
    <w:rPr>
      <w:color w:val="800080" w:themeColor="followedHyperlink"/>
      <w:u w:val="single"/>
    </w:rPr>
  </w:style>
  <w:style w:type="table" w:styleId="TableGrid">
    <w:name w:val="Table Grid"/>
    <w:basedOn w:val="TableNormal"/>
    <w:uiPriority w:val="39"/>
    <w:rsid w:val="0017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4AC"/>
    <w:pPr>
      <w:widowControl/>
      <w:adjustRightInd w:val="0"/>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1F606B"/>
    <w:rPr>
      <w:rFonts w:asciiTheme="majorHAnsi" w:eastAsiaTheme="majorEastAsia" w:hAnsiTheme="majorHAnsi" w:cstheme="majorBidi"/>
      <w:color w:val="365F91" w:themeColor="accent1" w:themeShade="BF"/>
      <w:sz w:val="26"/>
      <w:szCs w:val="26"/>
      <w:lang w:val="en-GB" w:eastAsia="en-GB" w:bidi="en-GB"/>
    </w:rPr>
  </w:style>
  <w:style w:type="paragraph" w:styleId="FootnoteText">
    <w:name w:val="footnote text"/>
    <w:basedOn w:val="Normal"/>
    <w:link w:val="FootnoteTextChar"/>
    <w:uiPriority w:val="99"/>
    <w:unhideWhenUsed/>
    <w:rsid w:val="00AF48B5"/>
    <w:rPr>
      <w:sz w:val="20"/>
      <w:szCs w:val="20"/>
    </w:rPr>
  </w:style>
  <w:style w:type="character" w:customStyle="1" w:styleId="FootnoteTextChar">
    <w:name w:val="Footnote Text Char"/>
    <w:basedOn w:val="DefaultParagraphFont"/>
    <w:link w:val="FootnoteText"/>
    <w:uiPriority w:val="99"/>
    <w:rsid w:val="00AF48B5"/>
    <w:rPr>
      <w:rFonts w:ascii="Arial" w:eastAsia="Arial" w:hAnsi="Arial" w:cs="Arial"/>
      <w:sz w:val="20"/>
      <w:szCs w:val="20"/>
      <w:lang w:val="en-GB" w:eastAsia="en-GB" w:bidi="en-GB"/>
    </w:rPr>
  </w:style>
  <w:style w:type="character" w:styleId="FootnoteReference">
    <w:name w:val="footnote reference"/>
    <w:basedOn w:val="DefaultParagraphFont"/>
    <w:uiPriority w:val="99"/>
    <w:unhideWhenUsed/>
    <w:rsid w:val="00AF48B5"/>
    <w:rPr>
      <w:vertAlign w:val="superscript"/>
    </w:rPr>
  </w:style>
  <w:style w:type="character" w:styleId="PlaceholderText">
    <w:name w:val="Placeholder Text"/>
    <w:basedOn w:val="DefaultParagraphFont"/>
    <w:uiPriority w:val="99"/>
    <w:semiHidden/>
    <w:rsid w:val="00A159B5"/>
    <w:rPr>
      <w:color w:val="808080"/>
    </w:rPr>
  </w:style>
  <w:style w:type="paragraph" w:styleId="Revision">
    <w:name w:val="Revision"/>
    <w:hidden/>
    <w:uiPriority w:val="99"/>
    <w:semiHidden/>
    <w:rsid w:val="00FD2B74"/>
    <w:pPr>
      <w:widowControl/>
      <w:autoSpaceDE/>
      <w:autoSpaceDN/>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6E7877"/>
    <w:rPr>
      <w:rFonts w:ascii="Arial" w:eastAsia="Arial" w:hAnsi="Arial" w:cs="Arial"/>
      <w:sz w:val="24"/>
      <w:szCs w:val="24"/>
      <w:lang w:val="en-GB" w:eastAsia="en-GB" w:bidi="en-GB"/>
    </w:rPr>
  </w:style>
  <w:style w:type="paragraph" w:styleId="Caption">
    <w:name w:val="caption"/>
    <w:basedOn w:val="Normal"/>
    <w:next w:val="Normal"/>
    <w:uiPriority w:val="35"/>
    <w:unhideWhenUsed/>
    <w:qFormat/>
    <w:rsid w:val="00E41CC8"/>
    <w:pPr>
      <w:spacing w:after="200"/>
    </w:pPr>
    <w:rPr>
      <w:i/>
      <w:iCs/>
      <w:color w:val="1F497D" w:themeColor="text2"/>
      <w:sz w:val="18"/>
      <w:szCs w:val="18"/>
    </w:rPr>
  </w:style>
  <w:style w:type="character" w:customStyle="1" w:styleId="UnresolvedMention2">
    <w:name w:val="Unresolved Mention2"/>
    <w:basedOn w:val="DefaultParagraphFont"/>
    <w:uiPriority w:val="99"/>
    <w:rsid w:val="003008C1"/>
    <w:rPr>
      <w:color w:val="605E5C"/>
      <w:shd w:val="clear" w:color="auto" w:fill="E1DFDD"/>
    </w:rPr>
  </w:style>
  <w:style w:type="paragraph" w:customStyle="1" w:styleId="Heading1Numbered">
    <w:name w:val="Heading 1 Numbered"/>
    <w:basedOn w:val="Heading1"/>
    <w:next w:val="BodyText"/>
    <w:uiPriority w:val="9"/>
    <w:qFormat/>
    <w:rsid w:val="002857CC"/>
    <w:pPr>
      <w:keepNext/>
      <w:keepLines/>
      <w:widowControl/>
      <w:numPr>
        <w:numId w:val="14"/>
      </w:numPr>
      <w:autoSpaceDE/>
      <w:autoSpaceDN/>
      <w:spacing w:before="600" w:after="240"/>
      <w:contextualSpacing/>
    </w:pPr>
    <w:rPr>
      <w:rFonts w:eastAsiaTheme="majorEastAsia" w:cstheme="majorBidi"/>
      <w:b w:val="0"/>
      <w:bCs w:val="0"/>
      <w:color w:val="005EB8"/>
      <w:sz w:val="48"/>
      <w:szCs w:val="32"/>
      <w:lang w:eastAsia="en-US" w:bidi="ar-SA"/>
    </w:rPr>
  </w:style>
  <w:style w:type="paragraph" w:customStyle="1" w:styleId="Heading2Numbered">
    <w:name w:val="Heading 2 Numbered"/>
    <w:basedOn w:val="Heading2"/>
    <w:next w:val="BodyText"/>
    <w:uiPriority w:val="9"/>
    <w:qFormat/>
    <w:rsid w:val="002857CC"/>
    <w:pPr>
      <w:widowControl/>
      <w:numPr>
        <w:ilvl w:val="1"/>
        <w:numId w:val="14"/>
      </w:numPr>
      <w:autoSpaceDE/>
      <w:autoSpaceDN/>
      <w:spacing w:before="240" w:after="120"/>
    </w:pPr>
    <w:rPr>
      <w:rFonts w:ascii="Arial" w:hAnsi="Arial"/>
      <w:color w:val="005EB8"/>
      <w:sz w:val="32"/>
      <w:lang w:eastAsia="en-US" w:bidi="ar-SA"/>
    </w:rPr>
  </w:style>
  <w:style w:type="paragraph" w:customStyle="1" w:styleId="Heading3Numbered">
    <w:name w:val="Heading 3 Numbered"/>
    <w:basedOn w:val="Heading3"/>
    <w:next w:val="BodyText"/>
    <w:uiPriority w:val="9"/>
    <w:qFormat/>
    <w:rsid w:val="002857CC"/>
    <w:pPr>
      <w:widowControl/>
      <w:numPr>
        <w:ilvl w:val="2"/>
        <w:numId w:val="14"/>
      </w:numPr>
      <w:autoSpaceDE/>
      <w:autoSpaceDN/>
      <w:spacing w:before="300" w:after="100"/>
    </w:pPr>
    <w:rPr>
      <w:rFonts w:ascii="Arial" w:hAnsi="Arial"/>
      <w:b/>
      <w:color w:val="231F20"/>
      <w:sz w:val="28"/>
      <w:lang w:eastAsia="en-US" w:bidi="ar-SA"/>
    </w:rPr>
  </w:style>
  <w:style w:type="numbering" w:customStyle="1" w:styleId="NHSHeadings">
    <w:name w:val="NHS Headings"/>
    <w:basedOn w:val="NoList"/>
    <w:uiPriority w:val="99"/>
    <w:rsid w:val="002857CC"/>
    <w:pPr>
      <w:numPr>
        <w:numId w:val="13"/>
      </w:numPr>
    </w:pPr>
  </w:style>
  <w:style w:type="paragraph" w:customStyle="1" w:styleId="BodyText11">
    <w:name w:val="Body Text 1.1"/>
    <w:basedOn w:val="BodyText"/>
    <w:link w:val="BodyText11Char"/>
    <w:uiPriority w:val="99"/>
    <w:qFormat/>
    <w:rsid w:val="002857CC"/>
    <w:pPr>
      <w:widowControl/>
      <w:numPr>
        <w:ilvl w:val="3"/>
        <w:numId w:val="14"/>
      </w:numPr>
      <w:autoSpaceDE/>
      <w:autoSpaceDN/>
      <w:spacing w:after="280" w:line="360" w:lineRule="atLeast"/>
    </w:pPr>
    <w:rPr>
      <w:color w:val="231F20"/>
    </w:rPr>
  </w:style>
  <w:style w:type="character" w:customStyle="1" w:styleId="BodyText11Char">
    <w:name w:val="Body Text 1.1 Char"/>
    <w:basedOn w:val="BodyTextChar"/>
    <w:link w:val="BodyText11"/>
    <w:uiPriority w:val="99"/>
    <w:rsid w:val="002857CC"/>
    <w:rPr>
      <w:rFonts w:ascii="Arial" w:eastAsia="Arial" w:hAnsi="Arial" w:cs="Arial"/>
      <w:color w:val="231F20"/>
      <w:sz w:val="24"/>
      <w:szCs w:val="24"/>
      <w:lang w:val="en-GB" w:eastAsia="en-GB" w:bidi="en-GB"/>
    </w:rPr>
  </w:style>
  <w:style w:type="table" w:customStyle="1" w:styleId="TableGrid1">
    <w:name w:val="Table Grid1"/>
    <w:basedOn w:val="TableNormal"/>
    <w:next w:val="TableGrid"/>
    <w:uiPriority w:val="39"/>
    <w:rsid w:val="00E95B8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15F8D"/>
    <w:rPr>
      <w:rFonts w:ascii="Arial" w:eastAsia="Arial" w:hAnsi="Arial" w:cs="Arial"/>
      <w:lang w:val="en-GB" w:eastAsia="en-GB" w:bidi="en-GB"/>
    </w:rPr>
  </w:style>
  <w:style w:type="table" w:customStyle="1" w:styleId="NHSTableBlue">
    <w:name w:val="NHS Table Blue"/>
    <w:basedOn w:val="TableNormal"/>
    <w:uiPriority w:val="99"/>
    <w:rsid w:val="00715F8D"/>
    <w:pPr>
      <w:widowControl/>
      <w:autoSpaceDE/>
      <w:autoSpaceDN/>
    </w:pPr>
    <w:rPr>
      <w:rFonts w:ascii="Arial" w:hAnsi="Arial"/>
      <w:color w:val="231F20"/>
      <w:sz w:val="24"/>
      <w:szCs w:val="24"/>
      <w:lang w:val="en-GB"/>
    </w:rPr>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paragraph" w:styleId="ListBullet">
    <w:name w:val="List Bullet"/>
    <w:basedOn w:val="BodyText"/>
    <w:uiPriority w:val="14"/>
    <w:qFormat/>
    <w:rsid w:val="00B579A4"/>
    <w:pPr>
      <w:widowControl/>
      <w:numPr>
        <w:numId w:val="19"/>
      </w:numPr>
      <w:autoSpaceDE/>
      <w:autoSpaceDN/>
      <w:spacing w:after="50" w:line="360" w:lineRule="atLeast"/>
    </w:pPr>
    <w:rPr>
      <w:rFonts w:eastAsiaTheme="minorHAnsi" w:cstheme="minorBidi"/>
      <w:color w:val="231F20"/>
      <w:lang w:eastAsia="en-US" w:bidi="ar-SA"/>
    </w:rPr>
  </w:style>
  <w:style w:type="paragraph" w:styleId="ListBullet2">
    <w:name w:val="List Bullet 2"/>
    <w:basedOn w:val="BodyText"/>
    <w:uiPriority w:val="14"/>
    <w:qFormat/>
    <w:rsid w:val="00B579A4"/>
    <w:pPr>
      <w:widowControl/>
      <w:numPr>
        <w:ilvl w:val="1"/>
        <w:numId w:val="19"/>
      </w:numPr>
      <w:autoSpaceDE/>
      <w:autoSpaceDN/>
      <w:spacing w:after="50" w:line="360" w:lineRule="atLeast"/>
    </w:pPr>
    <w:rPr>
      <w:rFonts w:eastAsiaTheme="minorHAnsi" w:cstheme="minorBidi"/>
      <w:color w:val="231F20"/>
      <w:lang w:eastAsia="en-US" w:bidi="ar-SA"/>
    </w:rPr>
  </w:style>
  <w:style w:type="paragraph" w:styleId="ListBullet3">
    <w:name w:val="List Bullet 3"/>
    <w:basedOn w:val="BodyText"/>
    <w:uiPriority w:val="99"/>
    <w:semiHidden/>
    <w:qFormat/>
    <w:rsid w:val="00B579A4"/>
    <w:pPr>
      <w:widowControl/>
      <w:numPr>
        <w:ilvl w:val="2"/>
        <w:numId w:val="19"/>
      </w:numPr>
      <w:autoSpaceDE/>
      <w:autoSpaceDN/>
      <w:spacing w:after="280" w:line="360" w:lineRule="atLeast"/>
      <w:contextualSpacing/>
    </w:pPr>
    <w:rPr>
      <w:rFonts w:eastAsiaTheme="minorHAnsi" w:cstheme="minorBidi"/>
      <w:color w:val="231F20"/>
      <w:lang w:eastAsia="en-US" w:bidi="ar-SA"/>
    </w:rPr>
  </w:style>
  <w:style w:type="paragraph" w:styleId="ListBullet4">
    <w:name w:val="List Bullet 4"/>
    <w:basedOn w:val="BodyText"/>
    <w:uiPriority w:val="99"/>
    <w:semiHidden/>
    <w:rsid w:val="00B579A4"/>
    <w:pPr>
      <w:widowControl/>
      <w:numPr>
        <w:ilvl w:val="3"/>
        <w:numId w:val="19"/>
      </w:numPr>
      <w:autoSpaceDE/>
      <w:autoSpaceDN/>
      <w:spacing w:after="280" w:line="360" w:lineRule="atLeast"/>
      <w:contextualSpacing/>
    </w:pPr>
    <w:rPr>
      <w:rFonts w:eastAsiaTheme="minorHAnsi" w:cstheme="minorBidi"/>
      <w:color w:val="231F20"/>
      <w:lang w:eastAsia="en-US" w:bidi="ar-SA"/>
    </w:rPr>
  </w:style>
  <w:style w:type="paragraph" w:styleId="ListBullet5">
    <w:name w:val="List Bullet 5"/>
    <w:basedOn w:val="BodyText"/>
    <w:uiPriority w:val="99"/>
    <w:semiHidden/>
    <w:rsid w:val="00B579A4"/>
    <w:pPr>
      <w:widowControl/>
      <w:numPr>
        <w:ilvl w:val="4"/>
        <w:numId w:val="19"/>
      </w:numPr>
      <w:autoSpaceDE/>
      <w:autoSpaceDN/>
      <w:spacing w:after="280" w:line="360" w:lineRule="atLeast"/>
      <w:contextualSpacing/>
    </w:pPr>
    <w:rPr>
      <w:rFonts w:eastAsiaTheme="minorHAnsi" w:cstheme="minorBidi"/>
      <w:color w:val="231F20"/>
      <w:lang w:eastAsia="en-US" w:bidi="ar-SA"/>
    </w:rPr>
  </w:style>
  <w:style w:type="numbering" w:customStyle="1" w:styleId="NHSBullets">
    <w:name w:val="NHS Bullets"/>
    <w:basedOn w:val="NoList"/>
    <w:uiPriority w:val="99"/>
    <w:rsid w:val="00B579A4"/>
    <w:pPr>
      <w:numPr>
        <w:numId w:val="18"/>
      </w:numPr>
    </w:pPr>
  </w:style>
  <w:style w:type="paragraph" w:styleId="NormalWeb">
    <w:name w:val="Normal (Web)"/>
    <w:basedOn w:val="Normal"/>
    <w:uiPriority w:val="99"/>
    <w:semiHidden/>
    <w:unhideWhenUsed/>
    <w:rsid w:val="0003195E"/>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2752">
      <w:bodyDiv w:val="1"/>
      <w:marLeft w:val="0"/>
      <w:marRight w:val="0"/>
      <w:marTop w:val="0"/>
      <w:marBottom w:val="0"/>
      <w:divBdr>
        <w:top w:val="none" w:sz="0" w:space="0" w:color="auto"/>
        <w:left w:val="none" w:sz="0" w:space="0" w:color="auto"/>
        <w:bottom w:val="none" w:sz="0" w:space="0" w:color="auto"/>
        <w:right w:val="none" w:sz="0" w:space="0" w:color="auto"/>
      </w:divBdr>
    </w:div>
    <w:div w:id="638462309">
      <w:bodyDiv w:val="1"/>
      <w:marLeft w:val="0"/>
      <w:marRight w:val="0"/>
      <w:marTop w:val="0"/>
      <w:marBottom w:val="0"/>
      <w:divBdr>
        <w:top w:val="none" w:sz="0" w:space="0" w:color="auto"/>
        <w:left w:val="none" w:sz="0" w:space="0" w:color="auto"/>
        <w:bottom w:val="none" w:sz="0" w:space="0" w:color="auto"/>
        <w:right w:val="none" w:sz="0" w:space="0" w:color="auto"/>
      </w:divBdr>
      <w:divsChild>
        <w:div w:id="217864713">
          <w:marLeft w:val="360"/>
          <w:marRight w:val="0"/>
          <w:marTop w:val="0"/>
          <w:marBottom w:val="120"/>
          <w:divBdr>
            <w:top w:val="none" w:sz="0" w:space="0" w:color="auto"/>
            <w:left w:val="none" w:sz="0" w:space="0" w:color="auto"/>
            <w:bottom w:val="none" w:sz="0" w:space="0" w:color="auto"/>
            <w:right w:val="none" w:sz="0" w:space="0" w:color="auto"/>
          </w:divBdr>
        </w:div>
        <w:div w:id="1576552933">
          <w:marLeft w:val="360"/>
          <w:marRight w:val="0"/>
          <w:marTop w:val="0"/>
          <w:marBottom w:val="120"/>
          <w:divBdr>
            <w:top w:val="none" w:sz="0" w:space="0" w:color="auto"/>
            <w:left w:val="none" w:sz="0" w:space="0" w:color="auto"/>
            <w:bottom w:val="none" w:sz="0" w:space="0" w:color="auto"/>
            <w:right w:val="none" w:sz="0" w:space="0" w:color="auto"/>
          </w:divBdr>
        </w:div>
        <w:div w:id="342901587">
          <w:marLeft w:val="360"/>
          <w:marRight w:val="0"/>
          <w:marTop w:val="0"/>
          <w:marBottom w:val="120"/>
          <w:divBdr>
            <w:top w:val="none" w:sz="0" w:space="0" w:color="auto"/>
            <w:left w:val="none" w:sz="0" w:space="0" w:color="auto"/>
            <w:bottom w:val="none" w:sz="0" w:space="0" w:color="auto"/>
            <w:right w:val="none" w:sz="0" w:space="0" w:color="auto"/>
          </w:divBdr>
        </w:div>
        <w:div w:id="444925529">
          <w:marLeft w:val="360"/>
          <w:marRight w:val="0"/>
          <w:marTop w:val="0"/>
          <w:marBottom w:val="120"/>
          <w:divBdr>
            <w:top w:val="none" w:sz="0" w:space="0" w:color="auto"/>
            <w:left w:val="none" w:sz="0" w:space="0" w:color="auto"/>
            <w:bottom w:val="none" w:sz="0" w:space="0" w:color="auto"/>
            <w:right w:val="none" w:sz="0" w:space="0" w:color="auto"/>
          </w:divBdr>
        </w:div>
        <w:div w:id="1633366927">
          <w:marLeft w:val="360"/>
          <w:marRight w:val="0"/>
          <w:marTop w:val="0"/>
          <w:marBottom w:val="120"/>
          <w:divBdr>
            <w:top w:val="none" w:sz="0" w:space="0" w:color="auto"/>
            <w:left w:val="none" w:sz="0" w:space="0" w:color="auto"/>
            <w:bottom w:val="none" w:sz="0" w:space="0" w:color="auto"/>
            <w:right w:val="none" w:sz="0" w:space="0" w:color="auto"/>
          </w:divBdr>
        </w:div>
        <w:div w:id="1917667621">
          <w:marLeft w:val="360"/>
          <w:marRight w:val="0"/>
          <w:marTop w:val="0"/>
          <w:marBottom w:val="120"/>
          <w:divBdr>
            <w:top w:val="none" w:sz="0" w:space="0" w:color="auto"/>
            <w:left w:val="none" w:sz="0" w:space="0" w:color="auto"/>
            <w:bottom w:val="none" w:sz="0" w:space="0" w:color="auto"/>
            <w:right w:val="none" w:sz="0" w:space="0" w:color="auto"/>
          </w:divBdr>
        </w:div>
      </w:divsChild>
    </w:div>
    <w:div w:id="656374173">
      <w:bodyDiv w:val="1"/>
      <w:marLeft w:val="0"/>
      <w:marRight w:val="0"/>
      <w:marTop w:val="0"/>
      <w:marBottom w:val="0"/>
      <w:divBdr>
        <w:top w:val="none" w:sz="0" w:space="0" w:color="auto"/>
        <w:left w:val="none" w:sz="0" w:space="0" w:color="auto"/>
        <w:bottom w:val="none" w:sz="0" w:space="0" w:color="auto"/>
        <w:right w:val="none" w:sz="0" w:space="0" w:color="auto"/>
      </w:divBdr>
    </w:div>
    <w:div w:id="723984347">
      <w:bodyDiv w:val="1"/>
      <w:marLeft w:val="0"/>
      <w:marRight w:val="0"/>
      <w:marTop w:val="0"/>
      <w:marBottom w:val="0"/>
      <w:divBdr>
        <w:top w:val="none" w:sz="0" w:space="0" w:color="auto"/>
        <w:left w:val="none" w:sz="0" w:space="0" w:color="auto"/>
        <w:bottom w:val="none" w:sz="0" w:space="0" w:color="auto"/>
        <w:right w:val="none" w:sz="0" w:space="0" w:color="auto"/>
      </w:divBdr>
    </w:div>
    <w:div w:id="939141226">
      <w:bodyDiv w:val="1"/>
      <w:marLeft w:val="0"/>
      <w:marRight w:val="0"/>
      <w:marTop w:val="0"/>
      <w:marBottom w:val="0"/>
      <w:divBdr>
        <w:top w:val="none" w:sz="0" w:space="0" w:color="auto"/>
        <w:left w:val="none" w:sz="0" w:space="0" w:color="auto"/>
        <w:bottom w:val="none" w:sz="0" w:space="0" w:color="auto"/>
        <w:right w:val="none" w:sz="0" w:space="0" w:color="auto"/>
      </w:divBdr>
    </w:div>
    <w:div w:id="1033070600">
      <w:bodyDiv w:val="1"/>
      <w:marLeft w:val="0"/>
      <w:marRight w:val="0"/>
      <w:marTop w:val="0"/>
      <w:marBottom w:val="0"/>
      <w:divBdr>
        <w:top w:val="none" w:sz="0" w:space="0" w:color="auto"/>
        <w:left w:val="none" w:sz="0" w:space="0" w:color="auto"/>
        <w:bottom w:val="none" w:sz="0" w:space="0" w:color="auto"/>
        <w:right w:val="none" w:sz="0" w:space="0" w:color="auto"/>
      </w:divBdr>
    </w:div>
    <w:div w:id="1078601920">
      <w:bodyDiv w:val="1"/>
      <w:marLeft w:val="0"/>
      <w:marRight w:val="0"/>
      <w:marTop w:val="0"/>
      <w:marBottom w:val="0"/>
      <w:divBdr>
        <w:top w:val="none" w:sz="0" w:space="0" w:color="auto"/>
        <w:left w:val="none" w:sz="0" w:space="0" w:color="auto"/>
        <w:bottom w:val="none" w:sz="0" w:space="0" w:color="auto"/>
        <w:right w:val="none" w:sz="0" w:space="0" w:color="auto"/>
      </w:divBdr>
    </w:div>
    <w:div w:id="1275862844">
      <w:bodyDiv w:val="1"/>
      <w:marLeft w:val="0"/>
      <w:marRight w:val="0"/>
      <w:marTop w:val="0"/>
      <w:marBottom w:val="0"/>
      <w:divBdr>
        <w:top w:val="none" w:sz="0" w:space="0" w:color="auto"/>
        <w:left w:val="none" w:sz="0" w:space="0" w:color="auto"/>
        <w:bottom w:val="none" w:sz="0" w:space="0" w:color="auto"/>
        <w:right w:val="none" w:sz="0" w:space="0" w:color="auto"/>
      </w:divBdr>
    </w:div>
    <w:div w:id="1368876355">
      <w:bodyDiv w:val="1"/>
      <w:marLeft w:val="0"/>
      <w:marRight w:val="0"/>
      <w:marTop w:val="0"/>
      <w:marBottom w:val="0"/>
      <w:divBdr>
        <w:top w:val="none" w:sz="0" w:space="0" w:color="auto"/>
        <w:left w:val="none" w:sz="0" w:space="0" w:color="auto"/>
        <w:bottom w:val="none" w:sz="0" w:space="0" w:color="auto"/>
        <w:right w:val="none" w:sz="0" w:space="0" w:color="auto"/>
      </w:divBdr>
    </w:div>
    <w:div w:id="160677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rofessionalstandards.org.uk/what-we-do/improving-regulation/find-research/duty-of-candour" TargetMode="External"/><Relationship Id="rId26" Type="http://schemas.openxmlformats.org/officeDocument/2006/relationships/hyperlink" Target="https://fssa.org.uk/_userfiles/pages/files/covid19/prioritisation_master_261121.pdf" TargetMode="External"/><Relationship Id="rId39" Type="http://schemas.openxmlformats.org/officeDocument/2006/relationships/header" Target="header5.xml"/><Relationship Id="rId21" Type="http://schemas.openxmlformats.org/officeDocument/2006/relationships/hyperlink" Target="https://www.cc3n.org.uk/uploads/9/8/4/2/98425184/critcon_200320.pdf" TargetMode="External"/><Relationship Id="rId34" Type="http://schemas.openxmlformats.org/officeDocument/2006/relationships/hyperlink" Target="https://ics.ac.uk/asset/443370A5-DD6A-4F1B-9F6DBD7D6C1551DB/"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land.nhs.uk/wp-content/uploads/2019/05/Adult-Critical-Care-Service-Specification-FINAL.pdf" TargetMode="External"/><Relationship Id="rId20" Type="http://schemas.openxmlformats.org/officeDocument/2006/relationships/hyperlink" Target="https://www.cc3n.org.uk/uploads/9/8/4/2/98425184/critcon_200320.pdf" TargetMode="External"/><Relationship Id="rId29" Type="http://schemas.openxmlformats.org/officeDocument/2006/relationships/hyperlink" Target="https://www.england.nhs.uk/wp-content/uploads/2021/06/B0656-nhsei-burns-critical-care-surge-and-escalation-sop.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rectoryofservices.nhs.uk/app/controllers/login/login.php" TargetMode="External"/><Relationship Id="rId32" Type="http://schemas.openxmlformats.org/officeDocument/2006/relationships/hyperlink" Target="https://nhsbtdbe.blob.core.windows.net/umbraco-assets-corp/21165/pol301.pdf"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ourwork/eprr/gf/" TargetMode="External"/><Relationship Id="rId23" Type="http://schemas.openxmlformats.org/officeDocument/2006/relationships/hyperlink" Target="https://www.cc3n.org.uk/uploads/9/8/4/2/98425184/critcon_200320.pdf" TargetMode="External"/><Relationship Id="rId28" Type="http://schemas.openxmlformats.org/officeDocument/2006/relationships/hyperlink" Target="https://www.england.nhs.uk/wp-content/uploads/2019/05/rrt-annex-to-acc-service-specification.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c3n.org.uk/uploads/9/8/4/2/98425184/critcon_200320.pdf" TargetMode="External"/><Relationship Id="rId31" Type="http://schemas.openxmlformats.org/officeDocument/2006/relationships/hyperlink" Target="https://www.england.nhs.uk/wp-content/uploads/2021/06/220501S-Adult-critical-care-transfer-servic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c3n.org.uk/uploads/9/8/4/2/98425184/critcon_200320.pdf" TargetMode="External"/><Relationship Id="rId27" Type="http://schemas.openxmlformats.org/officeDocument/2006/relationships/hyperlink" Target="https://www.england.nhs.uk/wp-content/uploads/2017/11/Management-of-surge-and-escalation-for-adult-respiratory-extra-corporeal-membrane-oxygenation-revised.pdf" TargetMode="External"/><Relationship Id="rId30" Type="http://schemas.openxmlformats.org/officeDocument/2006/relationships/hyperlink" Target="https://www.england.nhs.uk/wp-content/uploads/2016/12/Paediatric-Intensive-Care-Winter-Surge-Standard-Operating-Procedure.pdf" TargetMode="External"/><Relationship Id="rId35" Type="http://schemas.openxmlformats.org/officeDocument/2006/relationships/hyperlink" Target="https://www.england.nhs.uk/ourwork/eprr/g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gland.nhs.uk/wp-content/uploads/2021/12/B1215-framework-to-support-inter-hospital-transfer-of-critical-care-patients.pdf" TargetMode="External"/><Relationship Id="rId25" Type="http://schemas.openxmlformats.org/officeDocument/2006/relationships/hyperlink" Target="https://www.england.nhs.uk/wp-content/uploads/2021/06/220501S-Adult-critical-care-transfer-services.pdf" TargetMode="External"/><Relationship Id="rId33" Type="http://schemas.openxmlformats.org/officeDocument/2006/relationships/hyperlink" Target="https://www.england.nhs.uk/publication/operational-pressures-escalation-levels-opel-framework-2023-24/" TargetMode="Externa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coronavirus/wp-content/uploads/sites/52/2020/12/C0833_advice-on-acute-sector-workforce-models-during-COVID_with-apps_10dec.pdf" TargetMode="External"/><Relationship Id="rId2" Type="http://schemas.openxmlformats.org/officeDocument/2006/relationships/hyperlink" Target="https://www.ficm.ac.uk/sites/default/files/gpics-v2.pdf" TargetMode="External"/><Relationship Id="rId1" Type="http://schemas.openxmlformats.org/officeDocument/2006/relationships/hyperlink" Target="https://www.england.nhs.uk/wp-content/uploads/2019/02/operational-pressures-escalation-levels-framework-v2.pdf" TargetMode="External"/><Relationship Id="rId4" Type="http://schemas.openxmlformats.org/officeDocument/2006/relationships/hyperlink" Target="https://www.baccn.org/static/uploads/resources/UKCCNA_position_Sep_2021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24effe-1b6a-493c-9cee-1b7e2bb0e8c8">
      <Terms xmlns="http://schemas.microsoft.com/office/infopath/2007/PartnerControls"/>
    </lcf76f155ced4ddcb4097134ff3c332f>
    <Link xmlns="8d24effe-1b6a-493c-9cee-1b7e2bb0e8c8">
      <Url xsi:nil="true"/>
      <Description xsi:nil="true"/>
    </Link>
    <TaxCatchAll xmlns="cccaf3ac-2de9-44d4-aa31-54302fceb5f7" xsi:nil="true"/>
    <_Flow_SignoffStatus xmlns="8d24effe-1b6a-493c-9cee-1b7e2bb0e8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0BF7A58FEC5A4BAE2DE0FC3A12ABE1" ma:contentTypeVersion="24" ma:contentTypeDescription="Create a new document." ma:contentTypeScope="" ma:versionID="b290fa8c4db39f18d661a9292decd297">
  <xsd:schema xmlns:xsd="http://www.w3.org/2001/XMLSchema" xmlns:xs="http://www.w3.org/2001/XMLSchema" xmlns:p="http://schemas.microsoft.com/office/2006/metadata/properties" xmlns:ns1="http://schemas.microsoft.com/sharepoint/v3" xmlns:ns2="a73cbebc-d5b2-420a-85ad-1980d787f06b" xmlns:ns3="8d24effe-1b6a-493c-9cee-1b7e2bb0e8c8" xmlns:ns4="cccaf3ac-2de9-44d4-aa31-54302fceb5f7" targetNamespace="http://schemas.microsoft.com/office/2006/metadata/properties" ma:root="true" ma:fieldsID="1d91a9eed8582178448c272500c5e48a" ns1:_="" ns2:_="" ns3:_="" ns4:_="">
    <xsd:import namespace="http://schemas.microsoft.com/sharepoint/v3"/>
    <xsd:import namespace="a73cbebc-d5b2-420a-85ad-1980d787f06b"/>
    <xsd:import namespace="8d24effe-1b6a-493c-9cee-1b7e2bb0e8c8"/>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ink" minOccurs="0"/>
                <xsd:element ref="ns3:lcf76f155ced4ddcb4097134ff3c332f" minOccurs="0"/>
                <xsd:element ref="ns4: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bebc-d5b2-420a-85ad-1980d787f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4effe-1b6a-493c-9cee-1b7e2bb0e8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2dc23ba-5e9b-4519-98f4-3b16a352a2c9}" ma:internalName="TaxCatchAll" ma:showField="CatchAllData" ma:web="a73cbebc-d5b2-420a-85ad-1980d787f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E976E-F4E7-4E64-AF87-B2A4752584A0}">
  <ds:schemaRefs>
    <ds:schemaRef ds:uri="8d24effe-1b6a-493c-9cee-1b7e2bb0e8c8"/>
    <ds:schemaRef ds:uri="http://schemas.microsoft.com/office/2006/metadata/properties"/>
    <ds:schemaRef ds:uri="http://schemas.microsoft.com/office/2006/documentManagement/types"/>
    <ds:schemaRef ds:uri="cccaf3ac-2de9-44d4-aa31-54302fceb5f7"/>
    <ds:schemaRef ds:uri="http://schemas.microsoft.com/office/infopath/2007/PartnerControls"/>
    <ds:schemaRef ds:uri="http://schemas.microsoft.com/sharepoint/v3"/>
    <ds:schemaRef ds:uri="http://purl.org/dc/elements/1.1/"/>
    <ds:schemaRef ds:uri="http://purl.org/dc/terms/"/>
    <ds:schemaRef ds:uri="http://schemas.openxmlformats.org/package/2006/metadata/core-properties"/>
    <ds:schemaRef ds:uri="a73cbebc-d5b2-420a-85ad-1980d787f06b"/>
    <ds:schemaRef ds:uri="http://www.w3.org/XML/1998/namespace"/>
    <ds:schemaRef ds:uri="http://purl.org/dc/dcmitype/"/>
  </ds:schemaRefs>
</ds:datastoreItem>
</file>

<file path=customXml/itemProps2.xml><?xml version="1.0" encoding="utf-8"?>
<ds:datastoreItem xmlns:ds="http://schemas.openxmlformats.org/officeDocument/2006/customXml" ds:itemID="{84B7FB84-DA73-400D-9CD4-9364793EA87C}">
  <ds:schemaRefs>
    <ds:schemaRef ds:uri="http://schemas.microsoft.com/sharepoint/v3/contenttype/forms"/>
  </ds:schemaRefs>
</ds:datastoreItem>
</file>

<file path=customXml/itemProps3.xml><?xml version="1.0" encoding="utf-8"?>
<ds:datastoreItem xmlns:ds="http://schemas.openxmlformats.org/officeDocument/2006/customXml" ds:itemID="{AEA5B32B-CB2C-4715-B894-AAE3FA1DD18B}">
  <ds:schemaRefs>
    <ds:schemaRef ds:uri="http://schemas.openxmlformats.org/officeDocument/2006/bibliography"/>
  </ds:schemaRefs>
</ds:datastoreItem>
</file>

<file path=customXml/itemProps4.xml><?xml version="1.0" encoding="utf-8"?>
<ds:datastoreItem xmlns:ds="http://schemas.openxmlformats.org/officeDocument/2006/customXml" ds:itemID="{22B66AF9-F7D3-4602-8F1C-B47B36EC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ebc-d5b2-420a-85ad-1980d787f06b"/>
    <ds:schemaRef ds:uri="8d24effe-1b6a-493c-9cee-1b7e2bb0e8c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NEY Adult Critical Care Surge Plan Guidance 2021.</vt:lpstr>
    </vt:vector>
  </TitlesOfParts>
  <Company>Leeds Teaching Hospitals</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 Adult Critical Care Surge Plan Guidance 2021.</dc:title>
  <dc:creator>JARVIS, Ann (NHS ENGLAND &amp; NHS IMPROVEMENT - X24)</dc:creator>
  <cp:lastModifiedBy>Kevin Peters</cp:lastModifiedBy>
  <cp:revision>2</cp:revision>
  <dcterms:created xsi:type="dcterms:W3CDTF">2024-02-16T14:00:00Z</dcterms:created>
  <dcterms:modified xsi:type="dcterms:W3CDTF">2024-02-16T14:00:00Z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for Office 365</vt:lpwstr>
  </property>
  <property fmtid="{D5CDD505-2E9C-101B-9397-08002B2CF9AE}" pid="4" name="LastSaved">
    <vt:filetime>2020-10-16T00:00:00Z</vt:filetime>
  </property>
  <property fmtid="{D5CDD505-2E9C-101B-9397-08002B2CF9AE}" pid="5" name="ContentTypeId">
    <vt:lpwstr>0x0101000F0BF7A58FEC5A4BAE2DE0FC3A12ABE1</vt:lpwstr>
  </property>
  <property fmtid="{D5CDD505-2E9C-101B-9397-08002B2CF9AE}" pid="6" name="MediaServiceImageTags">
    <vt:lpwstr/>
  </property>
</Properties>
</file>